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44" w:rsidRPr="00C17C45" w:rsidRDefault="00485944" w:rsidP="00485944">
      <w:pPr>
        <w:spacing w:before="360"/>
        <w:ind w:left="567" w:right="567"/>
        <w:jc w:val="center"/>
        <w:rPr>
          <w:rFonts w:ascii="Cambria" w:eastAsia="Calibri" w:hAnsi="Cambria"/>
          <w:b/>
          <w:sz w:val="22"/>
          <w:szCs w:val="19"/>
          <w:lang w:eastAsia="en-US"/>
        </w:rPr>
      </w:pPr>
      <w:bookmarkStart w:id="0" w:name="_GoBack"/>
      <w:bookmarkEnd w:id="0"/>
      <w:r w:rsidRPr="00C17C45">
        <w:rPr>
          <w:rFonts w:ascii="Cambria" w:eastAsia="Calibri" w:hAnsi="Cambria"/>
          <w:b/>
          <w:sz w:val="22"/>
          <w:szCs w:val="19"/>
          <w:lang w:eastAsia="en-US"/>
        </w:rPr>
        <w:t>Elektroenerģijas sistēmas īpašnieka</w:t>
      </w:r>
      <w:r w:rsidRPr="00C17C45">
        <w:rPr>
          <w:rFonts w:ascii="Cambria" w:eastAsia="Calibri" w:hAnsi="Cambria"/>
          <w:b/>
          <w:sz w:val="22"/>
          <w:szCs w:val="19"/>
          <w:lang w:eastAsia="en-US"/>
        </w:rPr>
        <w:br/>
        <w:t>valsts nodevas par sabiedrisko pakalpojumu regulēšanu</w:t>
      </w:r>
      <w:r w:rsidRPr="00C17C45">
        <w:rPr>
          <w:rFonts w:ascii="Cambria" w:eastAsia="Calibri" w:hAnsi="Cambria"/>
          <w:b/>
          <w:sz w:val="22"/>
          <w:szCs w:val="19"/>
          <w:lang w:eastAsia="en-US"/>
        </w:rPr>
        <w:br/>
        <w:t>aprēķins _________. gadam</w:t>
      </w:r>
    </w:p>
    <w:p w:rsidR="00485944" w:rsidRPr="00E54DD1" w:rsidRDefault="00485944" w:rsidP="00485944">
      <w:pPr>
        <w:spacing w:before="130" w:line="260" w:lineRule="exact"/>
        <w:jc w:val="center"/>
        <w:rPr>
          <w:rFonts w:ascii="Cambria" w:eastAsia="Calibri" w:hAnsi="Cambria"/>
          <w:b/>
          <w:sz w:val="19"/>
          <w:szCs w:val="19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9"/>
        <w:gridCol w:w="4767"/>
      </w:tblGrid>
      <w:tr w:rsidR="00485944" w:rsidRPr="00C17C45" w:rsidTr="00FE28C0">
        <w:tc>
          <w:tcPr>
            <w:tcW w:w="4083" w:type="dxa"/>
            <w:shd w:val="pct10" w:color="auto" w:fill="auto"/>
            <w:vAlign w:val="center"/>
          </w:tcPr>
          <w:p w:rsidR="00485944" w:rsidRPr="00C17C45" w:rsidRDefault="00485944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Elektroenerģijas sistēmas īpašnieka nosaukums</w:t>
            </w:r>
          </w:p>
        </w:tc>
        <w:tc>
          <w:tcPr>
            <w:tcW w:w="5954" w:type="dxa"/>
            <w:shd w:val="clear" w:color="auto" w:fill="auto"/>
          </w:tcPr>
          <w:p w:rsidR="00485944" w:rsidRPr="00C17C45" w:rsidRDefault="00485944" w:rsidP="00FE28C0">
            <w:pPr>
              <w:jc w:val="right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</w:p>
        </w:tc>
      </w:tr>
      <w:tr w:rsidR="00485944" w:rsidRPr="00C17C45" w:rsidTr="00FE28C0">
        <w:tc>
          <w:tcPr>
            <w:tcW w:w="4083" w:type="dxa"/>
            <w:shd w:val="pct10" w:color="auto" w:fill="auto"/>
            <w:vAlign w:val="center"/>
          </w:tcPr>
          <w:p w:rsidR="00485944" w:rsidRPr="00C17C45" w:rsidRDefault="00485944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Vienotais reģistrācijas numurs</w:t>
            </w:r>
          </w:p>
        </w:tc>
        <w:tc>
          <w:tcPr>
            <w:tcW w:w="5954" w:type="dxa"/>
            <w:shd w:val="clear" w:color="auto" w:fill="auto"/>
          </w:tcPr>
          <w:p w:rsidR="00485944" w:rsidRPr="00C17C45" w:rsidRDefault="00485944" w:rsidP="00FE28C0">
            <w:pPr>
              <w:jc w:val="right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</w:p>
        </w:tc>
      </w:tr>
      <w:tr w:rsidR="00485944" w:rsidRPr="00C17C45" w:rsidTr="00FE28C0">
        <w:tc>
          <w:tcPr>
            <w:tcW w:w="4083" w:type="dxa"/>
            <w:shd w:val="pct10" w:color="auto" w:fill="auto"/>
            <w:vAlign w:val="center"/>
          </w:tcPr>
          <w:p w:rsidR="00485944" w:rsidRPr="00C17C45" w:rsidRDefault="00485944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Ierobežotas pieejamības informācija (atbilstoši atzīmēt)</w:t>
            </w:r>
          </w:p>
        </w:tc>
        <w:tc>
          <w:tcPr>
            <w:tcW w:w="5954" w:type="dxa"/>
            <w:shd w:val="clear" w:color="auto" w:fill="auto"/>
          </w:tcPr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</w:rPr>
              <w:drawing>
                <wp:inline distT="0" distB="0" distL="0" distR="0">
                  <wp:extent cx="247650" cy="266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944" w:rsidRPr="00C17C45" w:rsidTr="00FE28C0">
        <w:tc>
          <w:tcPr>
            <w:tcW w:w="4083" w:type="dxa"/>
            <w:shd w:val="pct10" w:color="auto" w:fill="auto"/>
            <w:vAlign w:val="center"/>
          </w:tcPr>
          <w:p w:rsidR="00485944" w:rsidRPr="00C17C45" w:rsidRDefault="00485944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Elektroenerģijas sistēmas īpašnieka pamatojums ierobežotas pieejamības statusa noteikšanai</w:t>
            </w:r>
          </w:p>
        </w:tc>
        <w:tc>
          <w:tcPr>
            <w:tcW w:w="5954" w:type="dxa"/>
            <w:shd w:val="clear" w:color="auto" w:fill="auto"/>
          </w:tcPr>
          <w:p w:rsidR="00485944" w:rsidRPr="00C17C45" w:rsidRDefault="00485944" w:rsidP="00FE28C0">
            <w:pPr>
              <w:jc w:val="right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</w:p>
        </w:tc>
      </w:tr>
    </w:tbl>
    <w:p w:rsidR="00485944" w:rsidRPr="00E54DD1" w:rsidRDefault="00485944" w:rsidP="00485944">
      <w:pPr>
        <w:spacing w:before="130" w:line="260" w:lineRule="exact"/>
        <w:rPr>
          <w:rFonts w:ascii="Cambria" w:eastAsia="Calibri" w:hAnsi="Cambria"/>
          <w:sz w:val="19"/>
          <w:szCs w:val="19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4"/>
        <w:gridCol w:w="603"/>
        <w:gridCol w:w="1952"/>
        <w:gridCol w:w="1413"/>
        <w:gridCol w:w="1414"/>
      </w:tblGrid>
      <w:tr w:rsidR="00485944" w:rsidRPr="00C17C45" w:rsidTr="00FE28C0">
        <w:tc>
          <w:tcPr>
            <w:tcW w:w="3695" w:type="dxa"/>
            <w:shd w:val="clear" w:color="auto" w:fill="auto"/>
            <w:vAlign w:val="center"/>
          </w:tcPr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</w:t>
            </w:r>
          </w:p>
        </w:tc>
      </w:tr>
      <w:tr w:rsidR="00485944" w:rsidRPr="00C17C45" w:rsidTr="00FE28C0">
        <w:tc>
          <w:tcPr>
            <w:tcW w:w="3695" w:type="dxa"/>
            <w:vMerge w:val="restart"/>
            <w:shd w:val="clear" w:color="auto" w:fill="auto"/>
            <w:vAlign w:val="center"/>
          </w:tcPr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Valsts nodevas par sabiedrisko pakalpojumu regulēšanu objekts</w:t>
            </w:r>
          </w:p>
        </w:tc>
        <w:tc>
          <w:tcPr>
            <w:tcW w:w="683" w:type="dxa"/>
            <w:shd w:val="clear" w:color="auto" w:fill="auto"/>
          </w:tcPr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2177" w:type="dxa"/>
            <w:shd w:val="clear" w:color="auto" w:fill="auto"/>
          </w:tcPr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Elektroenerģijas sistēmas īpašnieka ieņēmumi</w:t>
            </w:r>
          </w:p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(atbilstošo atzīmēt)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Valsts nodevas par sabiedrisko pakalpojumu regulēšanu likme</w:t>
            </w:r>
          </w:p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(%)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</w:tcPr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 xml:space="preserve">Aprēķinātā valsts nodeva par sabiedrisko pakalpojumu regulēšanu 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(</w:t>
            </w:r>
            <w:proofErr w:type="spellStart"/>
            <w:r w:rsidRPr="00C17C45">
              <w:rPr>
                <w:rFonts w:ascii="Cambria" w:eastAsia="Calibri" w:hAnsi="Cambria"/>
                <w:i/>
                <w:sz w:val="19"/>
                <w:szCs w:val="19"/>
                <w:lang w:eastAsia="en-US"/>
              </w:rPr>
              <w:t>euro</w:t>
            </w:r>
            <w:proofErr w:type="spellEnd"/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)</w:t>
            </w:r>
          </w:p>
        </w:tc>
      </w:tr>
      <w:tr w:rsidR="00485944" w:rsidRPr="00C17C45" w:rsidTr="00FE28C0">
        <w:tc>
          <w:tcPr>
            <w:tcW w:w="3695" w:type="dxa"/>
            <w:vMerge/>
            <w:shd w:val="clear" w:color="auto" w:fill="auto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</w:rPr>
              <w:drawing>
                <wp:inline distT="0" distB="0" distL="0" distR="0">
                  <wp:extent cx="247650" cy="266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shd w:val="clear" w:color="auto" w:fill="auto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Prognozētie ieņēmumi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 xml:space="preserve">iepriekšējā 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kalendārajā gadā</w:t>
            </w:r>
          </w:p>
        </w:tc>
        <w:tc>
          <w:tcPr>
            <w:tcW w:w="1512" w:type="dxa"/>
            <w:vMerge/>
            <w:shd w:val="clear" w:color="auto" w:fill="auto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485944" w:rsidRPr="00C17C45" w:rsidTr="00FE28C0">
        <w:tc>
          <w:tcPr>
            <w:tcW w:w="3695" w:type="dxa"/>
            <w:vMerge/>
            <w:shd w:val="clear" w:color="auto" w:fill="auto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</w:rPr>
              <w:drawing>
                <wp:inline distT="0" distB="0" distL="0" distR="0">
                  <wp:extent cx="247650" cy="266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shd w:val="clear" w:color="auto" w:fill="auto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Faktiskie ieņēmumi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 xml:space="preserve">iepriekšējā 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kalendārajā gadā</w:t>
            </w:r>
          </w:p>
        </w:tc>
        <w:tc>
          <w:tcPr>
            <w:tcW w:w="1512" w:type="dxa"/>
            <w:vMerge/>
            <w:shd w:val="clear" w:color="auto" w:fill="auto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485944" w:rsidRPr="00C17C45" w:rsidTr="00FE28C0">
        <w:tc>
          <w:tcPr>
            <w:tcW w:w="3695" w:type="dxa"/>
            <w:shd w:val="pct10" w:color="auto" w:fill="auto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Elektroenerģijas sistēmas īpašnieka ieņēmumi par pārvades sistēmas aktīvu iznomāšanu pārvades sistēmas operatoram iepriekšējā kalendārajā gadā</w:t>
            </w:r>
          </w:p>
        </w:tc>
        <w:tc>
          <w:tcPr>
            <w:tcW w:w="2860" w:type="dxa"/>
            <w:gridSpan w:val="2"/>
            <w:shd w:val="pct10" w:color="auto" w:fill="auto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512" w:type="dxa"/>
            <w:shd w:val="pct10" w:color="auto" w:fill="auto"/>
            <w:vAlign w:val="center"/>
          </w:tcPr>
          <w:p w:rsidR="00485944" w:rsidRPr="00C17C45" w:rsidRDefault="00485944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514" w:type="dxa"/>
            <w:shd w:val="pct10" w:color="auto" w:fill="auto"/>
          </w:tcPr>
          <w:p w:rsidR="00485944" w:rsidRPr="00C17C45" w:rsidRDefault="00485944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</w:tbl>
    <w:p w:rsidR="00485944" w:rsidRPr="00E54DD1" w:rsidRDefault="00485944" w:rsidP="00485944">
      <w:pPr>
        <w:spacing w:before="130" w:line="260" w:lineRule="exact"/>
        <w:jc w:val="right"/>
        <w:rPr>
          <w:rFonts w:ascii="Cambria" w:eastAsia="Calibri" w:hAnsi="Cambria"/>
          <w:sz w:val="19"/>
          <w:szCs w:val="19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29"/>
        <w:gridCol w:w="221"/>
        <w:gridCol w:w="361"/>
        <w:gridCol w:w="383"/>
        <w:gridCol w:w="590"/>
        <w:gridCol w:w="1618"/>
        <w:gridCol w:w="4404"/>
      </w:tblGrid>
      <w:tr w:rsidR="00485944" w:rsidRPr="00C17C45" w:rsidTr="00FE28C0">
        <w:tc>
          <w:tcPr>
            <w:tcW w:w="897" w:type="dxa"/>
            <w:gridSpan w:val="2"/>
            <w:vAlign w:val="bottom"/>
          </w:tcPr>
          <w:p w:rsidR="00485944" w:rsidRPr="00C17C45" w:rsidRDefault="00485944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Datums</w:t>
            </w:r>
          </w:p>
        </w:tc>
        <w:tc>
          <w:tcPr>
            <w:tcW w:w="341" w:type="dxa"/>
            <w:vAlign w:val="center"/>
          </w:tcPr>
          <w:p w:rsidR="00485944" w:rsidRPr="00C17C45" w:rsidRDefault="00485944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62" w:type="dxa"/>
            <w:vAlign w:val="center"/>
          </w:tcPr>
          <w:p w:rsidR="00485944" w:rsidRPr="00C17C45" w:rsidRDefault="00485944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558" w:type="dxa"/>
            <w:vAlign w:val="center"/>
          </w:tcPr>
          <w:p w:rsidR="00485944" w:rsidRPr="00C17C45" w:rsidRDefault="00485944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529" w:type="dxa"/>
            <w:vAlign w:val="bottom"/>
          </w:tcPr>
          <w:p w:rsidR="00485944" w:rsidRPr="00C17C45" w:rsidRDefault="00485944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162" w:type="dxa"/>
            <w:vAlign w:val="center"/>
          </w:tcPr>
          <w:p w:rsidR="00485944" w:rsidRPr="00C17C45" w:rsidRDefault="00485944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485944" w:rsidRPr="00C17C45" w:rsidTr="00FE28C0">
        <w:tc>
          <w:tcPr>
            <w:tcW w:w="3687" w:type="dxa"/>
            <w:gridSpan w:val="6"/>
          </w:tcPr>
          <w:p w:rsidR="00485944" w:rsidRPr="00C17C45" w:rsidRDefault="00485944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162" w:type="dxa"/>
          </w:tcPr>
          <w:p w:rsidR="00485944" w:rsidRPr="00C17C45" w:rsidRDefault="00485944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485944" w:rsidRPr="00C17C45" w:rsidTr="00FE28C0">
        <w:tc>
          <w:tcPr>
            <w:tcW w:w="3687" w:type="dxa"/>
            <w:gridSpan w:val="6"/>
            <w:vAlign w:val="center"/>
          </w:tcPr>
          <w:p w:rsidR="00485944" w:rsidRPr="00C17C45" w:rsidRDefault="00485944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Persona,</w:t>
            </w:r>
          </w:p>
          <w:p w:rsidR="00485944" w:rsidRPr="00C17C45" w:rsidRDefault="00485944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kura tiesīga pārstāvēt komersantu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:rsidR="00485944" w:rsidRPr="00C17C45" w:rsidRDefault="00485944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485944" w:rsidRPr="00C17C45" w:rsidTr="00FE28C0">
        <w:tc>
          <w:tcPr>
            <w:tcW w:w="3687" w:type="dxa"/>
            <w:gridSpan w:val="6"/>
          </w:tcPr>
          <w:p w:rsidR="00485944" w:rsidRPr="00C17C45" w:rsidRDefault="00485944" w:rsidP="00FE28C0">
            <w:pPr>
              <w:tabs>
                <w:tab w:val="left" w:pos="3960"/>
              </w:tabs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</w:tcPr>
          <w:p w:rsidR="00485944" w:rsidRPr="00C17C45" w:rsidRDefault="00485944" w:rsidP="00FE28C0">
            <w:pPr>
              <w:tabs>
                <w:tab w:val="left" w:pos="3960"/>
              </w:tabs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  <w:r w:rsidRPr="00C17C45">
              <w:rPr>
                <w:rFonts w:ascii="Cambria" w:hAnsi="Cambria"/>
                <w:sz w:val="17"/>
                <w:szCs w:val="17"/>
                <w:lang w:eastAsia="en-US"/>
              </w:rPr>
              <w:t>/paraksts un tā atšifrējums/</w:t>
            </w:r>
          </w:p>
        </w:tc>
      </w:tr>
      <w:tr w:rsidR="00485944" w:rsidRPr="00C17C45" w:rsidTr="00FE28C0">
        <w:tc>
          <w:tcPr>
            <w:tcW w:w="3687" w:type="dxa"/>
            <w:gridSpan w:val="6"/>
            <w:tcBorders>
              <w:bottom w:val="single" w:sz="4" w:space="0" w:color="auto"/>
            </w:tcBorders>
          </w:tcPr>
          <w:p w:rsidR="00485944" w:rsidRPr="00C17C45" w:rsidRDefault="00485944" w:rsidP="00FE28C0">
            <w:pPr>
              <w:tabs>
                <w:tab w:val="left" w:pos="3600"/>
              </w:tabs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162" w:type="dxa"/>
          </w:tcPr>
          <w:p w:rsidR="00485944" w:rsidRPr="00C17C45" w:rsidRDefault="00485944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485944" w:rsidRPr="00C17C45" w:rsidTr="00FE28C0">
        <w:tc>
          <w:tcPr>
            <w:tcW w:w="3687" w:type="dxa"/>
            <w:gridSpan w:val="6"/>
            <w:tcBorders>
              <w:top w:val="single" w:sz="4" w:space="0" w:color="auto"/>
            </w:tcBorders>
          </w:tcPr>
          <w:p w:rsidR="00485944" w:rsidRPr="00C17C45" w:rsidRDefault="00485944" w:rsidP="00FE28C0">
            <w:pPr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  <w:r w:rsidRPr="00C17C45">
              <w:rPr>
                <w:rFonts w:ascii="Cambria" w:hAnsi="Cambria"/>
                <w:sz w:val="17"/>
                <w:szCs w:val="17"/>
                <w:lang w:eastAsia="en-US"/>
              </w:rPr>
              <w:t>/sagatavotāja vārds, uzvārds/</w:t>
            </w:r>
          </w:p>
        </w:tc>
        <w:tc>
          <w:tcPr>
            <w:tcW w:w="4162" w:type="dxa"/>
          </w:tcPr>
          <w:p w:rsidR="00485944" w:rsidRPr="00C17C45" w:rsidRDefault="00485944" w:rsidP="00FE28C0">
            <w:pPr>
              <w:tabs>
                <w:tab w:val="left" w:pos="3960"/>
              </w:tabs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</w:tr>
      <w:tr w:rsidR="00485944" w:rsidRPr="00C17C45" w:rsidTr="00FE28C0">
        <w:tc>
          <w:tcPr>
            <w:tcW w:w="688" w:type="dxa"/>
            <w:vAlign w:val="bottom"/>
          </w:tcPr>
          <w:p w:rsidR="00485944" w:rsidRPr="00C17C45" w:rsidRDefault="00485944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tālrunis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  <w:vAlign w:val="bottom"/>
          </w:tcPr>
          <w:p w:rsidR="00485944" w:rsidRPr="00C17C45" w:rsidRDefault="00485944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162" w:type="dxa"/>
          </w:tcPr>
          <w:p w:rsidR="00485944" w:rsidRPr="00C17C45" w:rsidRDefault="00485944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485944" w:rsidRPr="00C17C45" w:rsidTr="00FE28C0">
        <w:tc>
          <w:tcPr>
            <w:tcW w:w="688" w:type="dxa"/>
            <w:vAlign w:val="bottom"/>
          </w:tcPr>
          <w:p w:rsidR="00485944" w:rsidRPr="00C17C45" w:rsidRDefault="00485944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e-pasts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  <w:vAlign w:val="bottom"/>
          </w:tcPr>
          <w:p w:rsidR="00485944" w:rsidRPr="00C17C45" w:rsidRDefault="00485944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162" w:type="dxa"/>
          </w:tcPr>
          <w:p w:rsidR="00485944" w:rsidRPr="00C17C45" w:rsidRDefault="00485944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</w:tbl>
    <w:p w:rsidR="00815EE5" w:rsidRPr="00485944" w:rsidRDefault="00815EE5" w:rsidP="00485944"/>
    <w:sectPr w:rsidR="00815EE5" w:rsidRPr="004859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B"/>
    <w:rsid w:val="0028448B"/>
    <w:rsid w:val="00485944"/>
    <w:rsid w:val="00815EE5"/>
    <w:rsid w:val="00E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0C896-0414-4A5D-96AD-5CB9C93A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8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28448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8448B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Baiba Jakobsone</cp:lastModifiedBy>
  <cp:revision>2</cp:revision>
  <dcterms:created xsi:type="dcterms:W3CDTF">2019-03-12T08:56:00Z</dcterms:created>
  <dcterms:modified xsi:type="dcterms:W3CDTF">2019-03-12T08:56:00Z</dcterms:modified>
</cp:coreProperties>
</file>