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4838C" w14:textId="77777777" w:rsidR="00EF459A" w:rsidRDefault="00EF459A" w:rsidP="00EF459A">
      <w:pPr>
        <w:spacing w:before="130" w:line="260" w:lineRule="exact"/>
        <w:ind w:firstLine="539"/>
        <w:jc w:val="right"/>
        <w:rPr>
          <w:rFonts w:ascii="Cambria" w:hAnsi="Cambria"/>
          <w:sz w:val="19"/>
        </w:rPr>
      </w:pPr>
      <w:bookmarkStart w:id="0" w:name="_GoBack"/>
      <w:bookmarkEnd w:id="0"/>
      <w:r w:rsidRPr="00D15675">
        <w:rPr>
          <w:rFonts w:ascii="Cambria" w:hAnsi="Cambria"/>
          <w:sz w:val="19"/>
        </w:rPr>
        <w:t>6.</w:t>
      </w:r>
      <w:r w:rsidRPr="00D15675">
        <w:rPr>
          <w:rFonts w:ascii="Cambria" w:hAnsi="Cambria"/>
          <w:sz w:val="19"/>
          <w:vertAlign w:val="superscript"/>
        </w:rPr>
        <w:t>1</w:t>
      </w:r>
      <w:r w:rsidRPr="00D15675">
        <w:rPr>
          <w:rFonts w:ascii="Cambria" w:hAnsi="Cambria"/>
          <w:sz w:val="19"/>
        </w:rPr>
        <w:t>pielikums</w:t>
      </w:r>
      <w:r>
        <w:rPr>
          <w:rFonts w:ascii="Cambria" w:hAnsi="Cambria"/>
          <w:sz w:val="19"/>
        </w:rPr>
        <w:br/>
      </w:r>
      <w:r w:rsidRPr="00D15675">
        <w:rPr>
          <w:rFonts w:ascii="Cambria" w:hAnsi="Cambria"/>
          <w:sz w:val="19"/>
        </w:rPr>
        <w:t>Sabiedrisko pakalpojumu</w:t>
      </w:r>
      <w:r>
        <w:rPr>
          <w:rFonts w:ascii="Cambria" w:hAnsi="Cambria"/>
          <w:sz w:val="19"/>
        </w:rPr>
        <w:br/>
      </w:r>
      <w:r w:rsidRPr="00D15675">
        <w:rPr>
          <w:rFonts w:ascii="Cambria" w:hAnsi="Cambria"/>
          <w:sz w:val="19"/>
        </w:rPr>
        <w:t xml:space="preserve"> regulēšanas komisijas</w:t>
      </w:r>
      <w:r>
        <w:rPr>
          <w:rFonts w:ascii="Cambria" w:hAnsi="Cambria"/>
          <w:sz w:val="19"/>
        </w:rPr>
        <w:br/>
      </w:r>
      <w:r w:rsidRPr="00D15675">
        <w:rPr>
          <w:rFonts w:ascii="Cambria" w:hAnsi="Cambria"/>
          <w:sz w:val="19"/>
        </w:rPr>
        <w:t>2017.gada 21.decembra lēmumam Nr.1/36</w:t>
      </w:r>
    </w:p>
    <w:p w14:paraId="36B76ABA" w14:textId="77777777" w:rsidR="00EF459A" w:rsidRPr="00EF459A" w:rsidRDefault="00EF459A" w:rsidP="00EF459A">
      <w:pPr>
        <w:spacing w:before="130" w:line="260" w:lineRule="exact"/>
        <w:jc w:val="left"/>
        <w:rPr>
          <w:rFonts w:asciiTheme="majorHAnsi" w:hAnsiTheme="majorHAnsi"/>
          <w:i/>
          <w:sz w:val="18"/>
          <w:szCs w:val="18"/>
        </w:rPr>
      </w:pPr>
      <w:r w:rsidRPr="00EF459A">
        <w:rPr>
          <w:rFonts w:asciiTheme="majorHAnsi" w:hAnsiTheme="majorHAnsi"/>
          <w:i/>
          <w:sz w:val="18"/>
          <w:szCs w:val="18"/>
        </w:rPr>
        <w:t>(Pielikums SPRK padomes 27.02.2020. lēmuma Nr. 1/3 redakcijā)</w:t>
      </w:r>
    </w:p>
    <w:p w14:paraId="35862562" w14:textId="77777777" w:rsidR="00EF459A" w:rsidRPr="00D15675" w:rsidRDefault="00EF459A" w:rsidP="00EF459A">
      <w:pPr>
        <w:spacing w:before="130" w:line="260" w:lineRule="exact"/>
        <w:ind w:firstLine="539"/>
        <w:jc w:val="center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5"/>
        <w:gridCol w:w="2601"/>
      </w:tblGrid>
      <w:tr w:rsidR="00EF459A" w:rsidRPr="008E624D" w14:paraId="31BD97CF" w14:textId="77777777" w:rsidTr="00763ED8">
        <w:tc>
          <w:tcPr>
            <w:tcW w:w="1450" w:type="pct"/>
            <w:noWrap/>
            <w:hideMark/>
          </w:tcPr>
          <w:p w14:paraId="7654E2D6" w14:textId="77777777" w:rsidR="00EF459A" w:rsidRPr="008E624D" w:rsidRDefault="00EF459A" w:rsidP="00763ED8">
            <w:pPr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</w:p>
          <w:p w14:paraId="318F1B76" w14:textId="77777777" w:rsidR="00EF459A" w:rsidRPr="008E624D" w:rsidRDefault="00EF459A" w:rsidP="00763ED8">
            <w:pPr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Energoapgādes komersanta nosaukums   _____________________________</w:t>
            </w:r>
          </w:p>
        </w:tc>
        <w:tc>
          <w:tcPr>
            <w:tcW w:w="3500" w:type="pct"/>
            <w:hideMark/>
          </w:tcPr>
          <w:p w14:paraId="5A1D511C" w14:textId="77777777" w:rsidR="00EF459A" w:rsidRPr="008E624D" w:rsidRDefault="00EF459A" w:rsidP="00763ED8">
            <w:pPr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</w:p>
        </w:tc>
      </w:tr>
      <w:tr w:rsidR="00EF459A" w:rsidRPr="008E624D" w14:paraId="0268B400" w14:textId="77777777" w:rsidTr="00763ED8">
        <w:tc>
          <w:tcPr>
            <w:tcW w:w="1450" w:type="pct"/>
            <w:noWrap/>
            <w:hideMark/>
          </w:tcPr>
          <w:p w14:paraId="5175A49C" w14:textId="77777777" w:rsidR="00EF459A" w:rsidRPr="008E624D" w:rsidRDefault="00EF459A" w:rsidP="00763ED8">
            <w:pPr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Vienotais reģistrācijas numurs    ____________________________________</w:t>
            </w:r>
          </w:p>
        </w:tc>
        <w:tc>
          <w:tcPr>
            <w:tcW w:w="3500" w:type="pct"/>
            <w:hideMark/>
          </w:tcPr>
          <w:p w14:paraId="2938C84B" w14:textId="77777777" w:rsidR="00EF459A" w:rsidRPr="008E624D" w:rsidRDefault="00EF459A" w:rsidP="00763ED8">
            <w:pPr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</w:p>
        </w:tc>
      </w:tr>
      <w:tr w:rsidR="00EF459A" w:rsidRPr="008E624D" w14:paraId="5685E003" w14:textId="77777777" w:rsidTr="00763ED8">
        <w:tc>
          <w:tcPr>
            <w:tcW w:w="1450" w:type="pct"/>
            <w:noWrap/>
            <w:hideMark/>
          </w:tcPr>
          <w:p w14:paraId="05CE13CF" w14:textId="77777777" w:rsidR="00EF459A" w:rsidRPr="008E624D" w:rsidRDefault="00EF459A" w:rsidP="00763ED8">
            <w:pPr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Izsniegtās licences numurs    ________________________________________</w:t>
            </w:r>
          </w:p>
        </w:tc>
        <w:tc>
          <w:tcPr>
            <w:tcW w:w="3500" w:type="pct"/>
            <w:hideMark/>
          </w:tcPr>
          <w:p w14:paraId="4DDA9B55" w14:textId="77777777" w:rsidR="00EF459A" w:rsidRPr="008E624D" w:rsidRDefault="00EF459A" w:rsidP="00763ED8">
            <w:pPr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</w:p>
        </w:tc>
      </w:tr>
    </w:tbl>
    <w:p w14:paraId="68EFC355" w14:textId="77777777" w:rsidR="00EF459A" w:rsidRPr="00EF459A" w:rsidRDefault="00EF459A" w:rsidP="00EF459A">
      <w:pPr>
        <w:spacing w:before="130" w:line="260" w:lineRule="exact"/>
        <w:jc w:val="center"/>
        <w:rPr>
          <w:rFonts w:ascii="Cambria" w:eastAsia="Times New Roman" w:hAnsi="Cambria"/>
          <w:b/>
          <w:bCs/>
          <w:szCs w:val="24"/>
          <w:lang w:eastAsia="lv-LV"/>
        </w:rPr>
      </w:pPr>
      <w:r w:rsidRPr="00EF459A">
        <w:rPr>
          <w:rFonts w:ascii="Cambria" w:eastAsia="Times New Roman" w:hAnsi="Cambria"/>
          <w:b/>
          <w:bCs/>
          <w:szCs w:val="24"/>
          <w:lang w:eastAsia="lv-LV"/>
        </w:rPr>
        <w:t>Darbības veids – elektroenerģijas pārvade</w:t>
      </w:r>
    </w:p>
    <w:p w14:paraId="51257177" w14:textId="77777777" w:rsidR="00EF459A" w:rsidRPr="00EF459A" w:rsidRDefault="00EF459A" w:rsidP="00EF459A">
      <w:pPr>
        <w:spacing w:before="130" w:line="260" w:lineRule="exact"/>
        <w:jc w:val="center"/>
        <w:rPr>
          <w:rFonts w:ascii="Cambria" w:eastAsia="Times New Roman" w:hAnsi="Cambria"/>
          <w:b/>
          <w:bCs/>
          <w:szCs w:val="24"/>
          <w:lang w:eastAsia="lv-LV"/>
        </w:rPr>
      </w:pPr>
      <w:r w:rsidRPr="00EF459A">
        <w:rPr>
          <w:rFonts w:ascii="Cambria" w:eastAsia="Times New Roman" w:hAnsi="Cambria"/>
          <w:b/>
          <w:bCs/>
          <w:szCs w:val="24"/>
          <w:lang w:eastAsia="lv-LV"/>
        </w:rPr>
        <w:t>Balansēšanas tirgus rādītāju atskaite ____.gada _______ceturksnī</w:t>
      </w:r>
    </w:p>
    <w:p w14:paraId="247EB70D" w14:textId="77777777" w:rsidR="00EF459A" w:rsidRPr="00EF459A" w:rsidRDefault="00EF459A" w:rsidP="00EF459A">
      <w:pPr>
        <w:spacing w:line="260" w:lineRule="exact"/>
        <w:ind w:firstLine="539"/>
        <w:rPr>
          <w:rFonts w:ascii="Cambria" w:eastAsia="Times New Roman" w:hAnsi="Cambria"/>
          <w:b/>
          <w:bCs/>
          <w:szCs w:val="2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22"/>
        <w:gridCol w:w="2907"/>
        <w:gridCol w:w="1269"/>
        <w:gridCol w:w="1064"/>
        <w:gridCol w:w="1067"/>
        <w:gridCol w:w="1067"/>
      </w:tblGrid>
      <w:tr w:rsidR="00EF459A" w:rsidRPr="008E624D" w14:paraId="3A44E709" w14:textId="77777777" w:rsidTr="00763ED8">
        <w:tc>
          <w:tcPr>
            <w:tcW w:w="556" w:type="pct"/>
            <w:hideMark/>
          </w:tcPr>
          <w:p w14:paraId="2C4138E1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</w:pPr>
            <w:proofErr w:type="spellStart"/>
            <w:r w:rsidRPr="008E624D"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  <w:t>Nr.p.k</w:t>
            </w:r>
            <w:proofErr w:type="spellEnd"/>
            <w:r w:rsidRPr="008E624D"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  <w:t>.</w:t>
            </w:r>
          </w:p>
        </w:tc>
        <w:tc>
          <w:tcPr>
            <w:tcW w:w="1752" w:type="pct"/>
            <w:hideMark/>
          </w:tcPr>
          <w:p w14:paraId="5D2FCA55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  <w:t> Rādītāji</w:t>
            </w:r>
          </w:p>
        </w:tc>
        <w:tc>
          <w:tcPr>
            <w:tcW w:w="765" w:type="pct"/>
            <w:hideMark/>
          </w:tcPr>
          <w:p w14:paraId="0D71FA5F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  <w:t>Mērvienība</w:t>
            </w:r>
          </w:p>
        </w:tc>
        <w:tc>
          <w:tcPr>
            <w:tcW w:w="641" w:type="pct"/>
            <w:hideMark/>
          </w:tcPr>
          <w:p w14:paraId="689EB9AB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Mēnesis</w:t>
            </w:r>
          </w:p>
        </w:tc>
        <w:tc>
          <w:tcPr>
            <w:tcW w:w="643" w:type="pct"/>
            <w:hideMark/>
          </w:tcPr>
          <w:p w14:paraId="2C45C6F0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Mēnesis</w:t>
            </w:r>
          </w:p>
        </w:tc>
        <w:tc>
          <w:tcPr>
            <w:tcW w:w="643" w:type="pct"/>
            <w:hideMark/>
          </w:tcPr>
          <w:p w14:paraId="0BEDBBA9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Mēnesis</w:t>
            </w:r>
          </w:p>
        </w:tc>
      </w:tr>
      <w:tr w:rsidR="00EF459A" w:rsidRPr="008E624D" w14:paraId="5ACA5A6A" w14:textId="77777777" w:rsidTr="00763ED8">
        <w:tc>
          <w:tcPr>
            <w:tcW w:w="556" w:type="pct"/>
          </w:tcPr>
          <w:p w14:paraId="0060174B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1</w:t>
            </w:r>
          </w:p>
        </w:tc>
        <w:tc>
          <w:tcPr>
            <w:tcW w:w="1752" w:type="pct"/>
          </w:tcPr>
          <w:p w14:paraId="016A559E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2</w:t>
            </w:r>
          </w:p>
        </w:tc>
        <w:tc>
          <w:tcPr>
            <w:tcW w:w="765" w:type="pct"/>
          </w:tcPr>
          <w:p w14:paraId="676338CF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3</w:t>
            </w:r>
          </w:p>
        </w:tc>
        <w:tc>
          <w:tcPr>
            <w:tcW w:w="641" w:type="pct"/>
          </w:tcPr>
          <w:p w14:paraId="64873E11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4</w:t>
            </w:r>
          </w:p>
        </w:tc>
        <w:tc>
          <w:tcPr>
            <w:tcW w:w="643" w:type="pct"/>
          </w:tcPr>
          <w:p w14:paraId="336501AC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5</w:t>
            </w:r>
          </w:p>
        </w:tc>
        <w:tc>
          <w:tcPr>
            <w:tcW w:w="643" w:type="pct"/>
          </w:tcPr>
          <w:p w14:paraId="44FDE1C0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6</w:t>
            </w:r>
          </w:p>
        </w:tc>
      </w:tr>
      <w:tr w:rsidR="00EF459A" w:rsidRPr="008E624D" w14:paraId="38D8A7E5" w14:textId="77777777" w:rsidTr="00763ED8">
        <w:tc>
          <w:tcPr>
            <w:tcW w:w="556" w:type="pct"/>
            <w:hideMark/>
          </w:tcPr>
          <w:p w14:paraId="1FFB8248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1.</w:t>
            </w:r>
          </w:p>
        </w:tc>
        <w:tc>
          <w:tcPr>
            <w:tcW w:w="1752" w:type="pct"/>
            <w:hideMark/>
          </w:tcPr>
          <w:p w14:paraId="0EC1BB9B" w14:textId="77777777" w:rsidR="00EF459A" w:rsidRPr="008E624D" w:rsidRDefault="00EF459A" w:rsidP="00763ED8">
            <w:pPr>
              <w:jc w:val="left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Regulēšanas pakalpojuma sniedzējiem pārdotais regulēšanas elektroenerģijas daudzums:</w:t>
            </w:r>
          </w:p>
        </w:tc>
        <w:tc>
          <w:tcPr>
            <w:tcW w:w="765" w:type="pct"/>
            <w:vAlign w:val="center"/>
            <w:hideMark/>
          </w:tcPr>
          <w:p w14:paraId="3946ECAB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1" w:type="pct"/>
            <w:hideMark/>
          </w:tcPr>
          <w:p w14:paraId="70F24146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43" w:type="pct"/>
            <w:hideMark/>
          </w:tcPr>
          <w:p w14:paraId="18BEFC83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43" w:type="pct"/>
            <w:hideMark/>
          </w:tcPr>
          <w:p w14:paraId="71E9FE96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EF459A" w:rsidRPr="008E624D" w14:paraId="34EA5476" w14:textId="77777777" w:rsidTr="00763ED8">
        <w:tc>
          <w:tcPr>
            <w:tcW w:w="556" w:type="pct"/>
            <w:hideMark/>
          </w:tcPr>
          <w:p w14:paraId="6AADC924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1.1.</w:t>
            </w:r>
          </w:p>
        </w:tc>
        <w:tc>
          <w:tcPr>
            <w:tcW w:w="1752" w:type="pct"/>
            <w:hideMark/>
          </w:tcPr>
          <w:p w14:paraId="280A58D3" w14:textId="77777777" w:rsidR="00EF459A" w:rsidRPr="008E624D" w:rsidRDefault="00EF459A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Latvija</w:t>
            </w:r>
          </w:p>
        </w:tc>
        <w:tc>
          <w:tcPr>
            <w:tcW w:w="765" w:type="pct"/>
            <w:vAlign w:val="center"/>
            <w:hideMark/>
          </w:tcPr>
          <w:p w14:paraId="2FFE5BF6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41" w:type="pct"/>
            <w:hideMark/>
          </w:tcPr>
          <w:p w14:paraId="4C1AC6E1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43" w:type="pct"/>
            <w:hideMark/>
          </w:tcPr>
          <w:p w14:paraId="3A4C8FC3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43" w:type="pct"/>
            <w:hideMark/>
          </w:tcPr>
          <w:p w14:paraId="26340681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EF459A" w:rsidRPr="008E624D" w14:paraId="710906A1" w14:textId="77777777" w:rsidTr="00763ED8">
        <w:tc>
          <w:tcPr>
            <w:tcW w:w="556" w:type="pct"/>
            <w:hideMark/>
          </w:tcPr>
          <w:p w14:paraId="1CB7054A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1.2.</w:t>
            </w:r>
          </w:p>
        </w:tc>
        <w:tc>
          <w:tcPr>
            <w:tcW w:w="1752" w:type="pct"/>
            <w:hideMark/>
          </w:tcPr>
          <w:p w14:paraId="3452BA3B" w14:textId="77777777" w:rsidR="00EF459A" w:rsidRPr="008E624D" w:rsidRDefault="00EF459A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Lietuva</w:t>
            </w:r>
          </w:p>
        </w:tc>
        <w:tc>
          <w:tcPr>
            <w:tcW w:w="765" w:type="pct"/>
            <w:vAlign w:val="center"/>
            <w:hideMark/>
          </w:tcPr>
          <w:p w14:paraId="64BF34CF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41" w:type="pct"/>
            <w:hideMark/>
          </w:tcPr>
          <w:p w14:paraId="1659DF10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43" w:type="pct"/>
            <w:hideMark/>
          </w:tcPr>
          <w:p w14:paraId="10CF37F1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43" w:type="pct"/>
            <w:hideMark/>
          </w:tcPr>
          <w:p w14:paraId="78A1C4D5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EF459A" w:rsidRPr="008E624D" w14:paraId="279EC1B4" w14:textId="77777777" w:rsidTr="00763ED8">
        <w:tc>
          <w:tcPr>
            <w:tcW w:w="556" w:type="pct"/>
            <w:hideMark/>
          </w:tcPr>
          <w:p w14:paraId="02503405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1.3.</w:t>
            </w:r>
          </w:p>
        </w:tc>
        <w:tc>
          <w:tcPr>
            <w:tcW w:w="1752" w:type="pct"/>
            <w:hideMark/>
          </w:tcPr>
          <w:p w14:paraId="59E85C16" w14:textId="77777777" w:rsidR="00EF459A" w:rsidRPr="008E624D" w:rsidRDefault="00EF459A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Igaunija</w:t>
            </w:r>
          </w:p>
        </w:tc>
        <w:tc>
          <w:tcPr>
            <w:tcW w:w="765" w:type="pct"/>
            <w:vAlign w:val="center"/>
            <w:hideMark/>
          </w:tcPr>
          <w:p w14:paraId="4221A1A5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41" w:type="pct"/>
            <w:hideMark/>
          </w:tcPr>
          <w:p w14:paraId="1F4305C5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43" w:type="pct"/>
            <w:hideMark/>
          </w:tcPr>
          <w:p w14:paraId="69410D56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43" w:type="pct"/>
            <w:hideMark/>
          </w:tcPr>
          <w:p w14:paraId="7FA993F9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EF459A" w:rsidRPr="008E624D" w14:paraId="3F6E88FE" w14:textId="77777777" w:rsidTr="00763ED8">
        <w:tc>
          <w:tcPr>
            <w:tcW w:w="556" w:type="pct"/>
          </w:tcPr>
          <w:p w14:paraId="1079CED1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1.4.</w:t>
            </w:r>
          </w:p>
        </w:tc>
        <w:tc>
          <w:tcPr>
            <w:tcW w:w="1752" w:type="pct"/>
          </w:tcPr>
          <w:p w14:paraId="2BFFD2C9" w14:textId="77777777" w:rsidR="00EF459A" w:rsidRPr="008E624D" w:rsidRDefault="00EF459A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Somija</w:t>
            </w:r>
          </w:p>
        </w:tc>
        <w:tc>
          <w:tcPr>
            <w:tcW w:w="765" w:type="pct"/>
            <w:vAlign w:val="center"/>
          </w:tcPr>
          <w:p w14:paraId="10463EF7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41" w:type="pct"/>
          </w:tcPr>
          <w:p w14:paraId="71EA4A51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4431F54B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4B9C1F6D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EF459A" w:rsidRPr="008E624D" w14:paraId="0CBE7273" w14:textId="77777777" w:rsidTr="00763ED8">
        <w:tc>
          <w:tcPr>
            <w:tcW w:w="556" w:type="pct"/>
          </w:tcPr>
          <w:p w14:paraId="0E8A3D70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1.5.</w:t>
            </w:r>
          </w:p>
        </w:tc>
        <w:tc>
          <w:tcPr>
            <w:tcW w:w="1752" w:type="pct"/>
          </w:tcPr>
          <w:p w14:paraId="686397E6" w14:textId="77777777" w:rsidR="00EF459A" w:rsidRPr="008E624D" w:rsidRDefault="00EF459A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Zviedrija</w:t>
            </w:r>
          </w:p>
        </w:tc>
        <w:tc>
          <w:tcPr>
            <w:tcW w:w="765" w:type="pct"/>
            <w:vAlign w:val="center"/>
          </w:tcPr>
          <w:p w14:paraId="4FC744D2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41" w:type="pct"/>
          </w:tcPr>
          <w:p w14:paraId="2AA80634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0B02D189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062D23AE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EF459A" w:rsidRPr="008E624D" w14:paraId="2C8FC673" w14:textId="77777777" w:rsidTr="00763ED8">
        <w:tc>
          <w:tcPr>
            <w:tcW w:w="556" w:type="pct"/>
          </w:tcPr>
          <w:p w14:paraId="01396E03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2.</w:t>
            </w:r>
          </w:p>
        </w:tc>
        <w:tc>
          <w:tcPr>
            <w:tcW w:w="1752" w:type="pct"/>
          </w:tcPr>
          <w:p w14:paraId="133E2077" w14:textId="77777777" w:rsidR="00EF459A" w:rsidRPr="008E624D" w:rsidRDefault="00EF459A" w:rsidP="00763ED8">
            <w:pPr>
              <w:jc w:val="left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No regulēšanas pakalpojuma sniedzējiem iepirktais regulēšanas elektroenerģijas daudzums:</w:t>
            </w:r>
          </w:p>
        </w:tc>
        <w:tc>
          <w:tcPr>
            <w:tcW w:w="765" w:type="pct"/>
            <w:vAlign w:val="center"/>
          </w:tcPr>
          <w:p w14:paraId="517031A0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1" w:type="pct"/>
          </w:tcPr>
          <w:p w14:paraId="582C9589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4171992A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3E0DA56B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EF459A" w:rsidRPr="008E624D" w14:paraId="7F3B25F1" w14:textId="77777777" w:rsidTr="00763ED8">
        <w:tc>
          <w:tcPr>
            <w:tcW w:w="556" w:type="pct"/>
          </w:tcPr>
          <w:p w14:paraId="22BCF5AF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2.1.</w:t>
            </w:r>
          </w:p>
        </w:tc>
        <w:tc>
          <w:tcPr>
            <w:tcW w:w="1752" w:type="pct"/>
          </w:tcPr>
          <w:p w14:paraId="4629EE20" w14:textId="77777777" w:rsidR="00EF459A" w:rsidRPr="008E624D" w:rsidRDefault="00EF459A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Latvija</w:t>
            </w:r>
          </w:p>
        </w:tc>
        <w:tc>
          <w:tcPr>
            <w:tcW w:w="765" w:type="pct"/>
            <w:vAlign w:val="center"/>
          </w:tcPr>
          <w:p w14:paraId="51A11A44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41" w:type="pct"/>
          </w:tcPr>
          <w:p w14:paraId="2C7977F9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4AFC5A0E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4E17B9AE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EF459A" w:rsidRPr="008E624D" w14:paraId="7B66016E" w14:textId="77777777" w:rsidTr="00763ED8">
        <w:tc>
          <w:tcPr>
            <w:tcW w:w="556" w:type="pct"/>
          </w:tcPr>
          <w:p w14:paraId="1B2B97AC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2.2.</w:t>
            </w:r>
          </w:p>
        </w:tc>
        <w:tc>
          <w:tcPr>
            <w:tcW w:w="1752" w:type="pct"/>
          </w:tcPr>
          <w:p w14:paraId="7266648B" w14:textId="77777777" w:rsidR="00EF459A" w:rsidRPr="008E624D" w:rsidRDefault="00EF459A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Lietuva</w:t>
            </w:r>
          </w:p>
        </w:tc>
        <w:tc>
          <w:tcPr>
            <w:tcW w:w="765" w:type="pct"/>
            <w:vAlign w:val="center"/>
          </w:tcPr>
          <w:p w14:paraId="5D2C1823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41" w:type="pct"/>
          </w:tcPr>
          <w:p w14:paraId="7FA6E96D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4155FE52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1B0A7638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EF459A" w:rsidRPr="008E624D" w14:paraId="360D1B9F" w14:textId="77777777" w:rsidTr="00763ED8">
        <w:tc>
          <w:tcPr>
            <w:tcW w:w="556" w:type="pct"/>
          </w:tcPr>
          <w:p w14:paraId="1351D6EB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2.3.</w:t>
            </w:r>
          </w:p>
        </w:tc>
        <w:tc>
          <w:tcPr>
            <w:tcW w:w="1752" w:type="pct"/>
          </w:tcPr>
          <w:p w14:paraId="45AEB5E2" w14:textId="77777777" w:rsidR="00EF459A" w:rsidRPr="008E624D" w:rsidRDefault="00EF459A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Igaunija</w:t>
            </w:r>
          </w:p>
        </w:tc>
        <w:tc>
          <w:tcPr>
            <w:tcW w:w="765" w:type="pct"/>
            <w:vAlign w:val="center"/>
          </w:tcPr>
          <w:p w14:paraId="5A848800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41" w:type="pct"/>
          </w:tcPr>
          <w:p w14:paraId="29624D3B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3B39931F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2ACDD911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EF459A" w:rsidRPr="008E624D" w14:paraId="299719D3" w14:textId="77777777" w:rsidTr="00763ED8">
        <w:tc>
          <w:tcPr>
            <w:tcW w:w="556" w:type="pct"/>
          </w:tcPr>
          <w:p w14:paraId="2FE97050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2.4.</w:t>
            </w:r>
          </w:p>
        </w:tc>
        <w:tc>
          <w:tcPr>
            <w:tcW w:w="1752" w:type="pct"/>
          </w:tcPr>
          <w:p w14:paraId="298686D4" w14:textId="77777777" w:rsidR="00EF459A" w:rsidRPr="008E624D" w:rsidRDefault="00EF459A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Somija</w:t>
            </w:r>
          </w:p>
        </w:tc>
        <w:tc>
          <w:tcPr>
            <w:tcW w:w="765" w:type="pct"/>
            <w:vAlign w:val="center"/>
          </w:tcPr>
          <w:p w14:paraId="28EF3DB9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41" w:type="pct"/>
          </w:tcPr>
          <w:p w14:paraId="7D1F995A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404B05E9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192E8AFF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EF459A" w:rsidRPr="008E624D" w14:paraId="3F120BEA" w14:textId="77777777" w:rsidTr="00763ED8">
        <w:tc>
          <w:tcPr>
            <w:tcW w:w="556" w:type="pct"/>
          </w:tcPr>
          <w:p w14:paraId="24C68E8B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2.5.</w:t>
            </w:r>
          </w:p>
        </w:tc>
        <w:tc>
          <w:tcPr>
            <w:tcW w:w="1752" w:type="pct"/>
          </w:tcPr>
          <w:p w14:paraId="70572AA2" w14:textId="77777777" w:rsidR="00EF459A" w:rsidRPr="008E624D" w:rsidRDefault="00EF459A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Zviedrija</w:t>
            </w:r>
          </w:p>
        </w:tc>
        <w:tc>
          <w:tcPr>
            <w:tcW w:w="765" w:type="pct"/>
            <w:vAlign w:val="center"/>
          </w:tcPr>
          <w:p w14:paraId="5B0B7545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41" w:type="pct"/>
          </w:tcPr>
          <w:p w14:paraId="619ED1F9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24EA2B9B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46978D3C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EF459A" w:rsidRPr="008E624D" w14:paraId="0D35297F" w14:textId="77777777" w:rsidTr="00763ED8">
        <w:tc>
          <w:tcPr>
            <w:tcW w:w="556" w:type="pct"/>
          </w:tcPr>
          <w:p w14:paraId="325FF709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  <w:t>3.</w:t>
            </w:r>
          </w:p>
        </w:tc>
        <w:tc>
          <w:tcPr>
            <w:tcW w:w="1752" w:type="pct"/>
          </w:tcPr>
          <w:p w14:paraId="2694E4BF" w14:textId="77777777" w:rsidR="00EF459A" w:rsidRPr="008E624D" w:rsidRDefault="00EF459A" w:rsidP="00763ED8">
            <w:pPr>
              <w:jc w:val="left"/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  <w:t xml:space="preserve">Darījumi ar atvērtā balansēšanas pakalpojuma nodrošinātāju </w:t>
            </w:r>
          </w:p>
        </w:tc>
        <w:tc>
          <w:tcPr>
            <w:tcW w:w="765" w:type="pct"/>
            <w:vAlign w:val="center"/>
          </w:tcPr>
          <w:p w14:paraId="39182A03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</w:pPr>
          </w:p>
        </w:tc>
        <w:tc>
          <w:tcPr>
            <w:tcW w:w="641" w:type="pct"/>
          </w:tcPr>
          <w:p w14:paraId="6F107886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65EC98CD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40AECE82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EF459A" w:rsidRPr="008E624D" w14:paraId="70CDC56A" w14:textId="77777777" w:rsidTr="00763ED8">
        <w:tc>
          <w:tcPr>
            <w:tcW w:w="556" w:type="pct"/>
          </w:tcPr>
          <w:p w14:paraId="4B859F90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3.1.</w:t>
            </w:r>
          </w:p>
        </w:tc>
        <w:tc>
          <w:tcPr>
            <w:tcW w:w="1752" w:type="pct"/>
          </w:tcPr>
          <w:p w14:paraId="60473A84" w14:textId="77777777" w:rsidR="00EF459A" w:rsidRPr="008E624D" w:rsidRDefault="00EF459A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Pārdotās balansēšanas elektroenerģijas daudzums</w:t>
            </w:r>
          </w:p>
        </w:tc>
        <w:tc>
          <w:tcPr>
            <w:tcW w:w="765" w:type="pct"/>
            <w:vAlign w:val="center"/>
          </w:tcPr>
          <w:p w14:paraId="279CC6AD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proofErr w:type="spellStart"/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41" w:type="pct"/>
          </w:tcPr>
          <w:p w14:paraId="447EA3D4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495FD2B5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7C2349A9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EF459A" w:rsidRPr="008E624D" w14:paraId="21F83FB5" w14:textId="77777777" w:rsidTr="00763ED8">
        <w:tc>
          <w:tcPr>
            <w:tcW w:w="556" w:type="pct"/>
          </w:tcPr>
          <w:p w14:paraId="211B5870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3.2.</w:t>
            </w:r>
          </w:p>
        </w:tc>
        <w:tc>
          <w:tcPr>
            <w:tcW w:w="1752" w:type="pct"/>
          </w:tcPr>
          <w:p w14:paraId="311C8DF1" w14:textId="77777777" w:rsidR="00EF459A" w:rsidRPr="008E624D" w:rsidRDefault="00EF459A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Iepirktās balansēšanas elektroenerģijas daudzums</w:t>
            </w:r>
          </w:p>
        </w:tc>
        <w:tc>
          <w:tcPr>
            <w:tcW w:w="765" w:type="pct"/>
            <w:vAlign w:val="center"/>
          </w:tcPr>
          <w:p w14:paraId="2F7E1471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proofErr w:type="spellStart"/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41" w:type="pct"/>
          </w:tcPr>
          <w:p w14:paraId="12E30E3E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2BA6162C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1DAD71EC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EF459A" w:rsidRPr="008E624D" w14:paraId="05FC4277" w14:textId="77777777" w:rsidTr="00763ED8">
        <w:tc>
          <w:tcPr>
            <w:tcW w:w="556" w:type="pct"/>
          </w:tcPr>
          <w:p w14:paraId="4BB0B57B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  <w:t>4.</w:t>
            </w:r>
          </w:p>
        </w:tc>
        <w:tc>
          <w:tcPr>
            <w:tcW w:w="1752" w:type="pct"/>
          </w:tcPr>
          <w:p w14:paraId="552F0866" w14:textId="77777777" w:rsidR="00EF459A" w:rsidRPr="008E624D" w:rsidRDefault="00EF459A" w:rsidP="00763ED8">
            <w:pPr>
              <w:jc w:val="left"/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  <w:t>Cena par regulēšanas enerģiju</w:t>
            </w:r>
          </w:p>
        </w:tc>
        <w:tc>
          <w:tcPr>
            <w:tcW w:w="765" w:type="pct"/>
            <w:vAlign w:val="center"/>
          </w:tcPr>
          <w:p w14:paraId="08620D4C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1" w:type="pct"/>
          </w:tcPr>
          <w:p w14:paraId="34A4C0BA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2F82682D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38E36090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EF459A" w:rsidRPr="008E624D" w14:paraId="48B8FF58" w14:textId="77777777" w:rsidTr="00763ED8">
        <w:tc>
          <w:tcPr>
            <w:tcW w:w="556" w:type="pct"/>
          </w:tcPr>
          <w:p w14:paraId="398E9404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4.1.</w:t>
            </w:r>
          </w:p>
        </w:tc>
        <w:tc>
          <w:tcPr>
            <w:tcW w:w="1752" w:type="pct"/>
          </w:tcPr>
          <w:p w14:paraId="2DD12D8E" w14:textId="77777777" w:rsidR="00EF459A" w:rsidRPr="008E624D" w:rsidRDefault="00EF459A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Normālās aktivizācijas marginālā cena regulēšanas enerģijai augšupvērstai aktivizācijai</w:t>
            </w:r>
          </w:p>
        </w:tc>
        <w:tc>
          <w:tcPr>
            <w:tcW w:w="765" w:type="pct"/>
            <w:vAlign w:val="center"/>
          </w:tcPr>
          <w:p w14:paraId="4CCD5ABB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EUR/</w:t>
            </w:r>
            <w:proofErr w:type="spellStart"/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41" w:type="pct"/>
          </w:tcPr>
          <w:p w14:paraId="7D1E8FF9" w14:textId="77777777" w:rsidR="00EF459A" w:rsidRPr="008E624D" w:rsidRDefault="00EF459A" w:rsidP="00763ED8">
            <w:pPr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18862DB5" w14:textId="77777777" w:rsidR="00EF459A" w:rsidRPr="008E624D" w:rsidRDefault="00EF459A" w:rsidP="00763ED8">
            <w:pPr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6E94421B" w14:textId="77777777" w:rsidR="00EF459A" w:rsidRPr="008E624D" w:rsidRDefault="00EF459A" w:rsidP="00763ED8">
            <w:pPr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</w:p>
        </w:tc>
      </w:tr>
      <w:tr w:rsidR="00EF459A" w:rsidRPr="008E624D" w14:paraId="5170A98B" w14:textId="77777777" w:rsidTr="00763ED8">
        <w:tc>
          <w:tcPr>
            <w:tcW w:w="556" w:type="pct"/>
          </w:tcPr>
          <w:p w14:paraId="7C289E6B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4.2.</w:t>
            </w:r>
          </w:p>
        </w:tc>
        <w:tc>
          <w:tcPr>
            <w:tcW w:w="1752" w:type="pct"/>
          </w:tcPr>
          <w:p w14:paraId="3D526BB4" w14:textId="77777777" w:rsidR="00EF459A" w:rsidRPr="008E624D" w:rsidRDefault="00EF459A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Normālās aktivizācijas marginālā cena regulēšanas enerģijai lejupvērstai aktivizācijai</w:t>
            </w:r>
          </w:p>
        </w:tc>
        <w:tc>
          <w:tcPr>
            <w:tcW w:w="765" w:type="pct"/>
            <w:vAlign w:val="center"/>
          </w:tcPr>
          <w:p w14:paraId="1DFAA38C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EUR/</w:t>
            </w:r>
            <w:proofErr w:type="spellStart"/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41" w:type="pct"/>
          </w:tcPr>
          <w:p w14:paraId="3360EC74" w14:textId="77777777" w:rsidR="00EF459A" w:rsidRPr="008E624D" w:rsidRDefault="00EF459A" w:rsidP="00763ED8">
            <w:pPr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285BF9A1" w14:textId="77777777" w:rsidR="00EF459A" w:rsidRPr="008E624D" w:rsidRDefault="00EF459A" w:rsidP="00763ED8">
            <w:pPr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6B846702" w14:textId="77777777" w:rsidR="00EF459A" w:rsidRPr="008E624D" w:rsidRDefault="00EF459A" w:rsidP="00763ED8">
            <w:pPr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</w:p>
        </w:tc>
      </w:tr>
      <w:tr w:rsidR="00EF459A" w:rsidRPr="008E624D" w14:paraId="1544C4DA" w14:textId="77777777" w:rsidTr="00763ED8">
        <w:tc>
          <w:tcPr>
            <w:tcW w:w="556" w:type="pct"/>
          </w:tcPr>
          <w:p w14:paraId="6A251009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  <w:t>5.</w:t>
            </w:r>
          </w:p>
        </w:tc>
        <w:tc>
          <w:tcPr>
            <w:tcW w:w="1752" w:type="pct"/>
          </w:tcPr>
          <w:p w14:paraId="2AE5219B" w14:textId="77777777" w:rsidR="00EF459A" w:rsidRPr="008E624D" w:rsidRDefault="00EF459A" w:rsidP="00763ED8">
            <w:pPr>
              <w:jc w:val="left"/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  <w:t>Cena par atvērtā balansēšanas pakalpojuma nodrošinātāja pakalpojumiem</w:t>
            </w:r>
          </w:p>
        </w:tc>
        <w:tc>
          <w:tcPr>
            <w:tcW w:w="765" w:type="pct"/>
            <w:vAlign w:val="center"/>
          </w:tcPr>
          <w:p w14:paraId="33470636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1" w:type="pct"/>
          </w:tcPr>
          <w:p w14:paraId="46C6035C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357BADAD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64C283BD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EF459A" w:rsidRPr="008E624D" w14:paraId="5802DF85" w14:textId="77777777" w:rsidTr="00763ED8">
        <w:tc>
          <w:tcPr>
            <w:tcW w:w="556" w:type="pct"/>
          </w:tcPr>
          <w:p w14:paraId="0A4094D9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lastRenderedPageBreak/>
              <w:t>5.1.</w:t>
            </w:r>
          </w:p>
        </w:tc>
        <w:tc>
          <w:tcPr>
            <w:tcW w:w="1752" w:type="pct"/>
          </w:tcPr>
          <w:p w14:paraId="6A9AFE67" w14:textId="77777777" w:rsidR="00EF459A" w:rsidRPr="008E624D" w:rsidRDefault="00EF459A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Cena par balansēšanas elektroenerģijas iepirkšanu no atvērtā balansēšanas pakalpojuma nodrošinātāja</w:t>
            </w:r>
          </w:p>
        </w:tc>
        <w:tc>
          <w:tcPr>
            <w:tcW w:w="765" w:type="pct"/>
            <w:vAlign w:val="center"/>
          </w:tcPr>
          <w:p w14:paraId="571EB0C0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EUR/</w:t>
            </w:r>
            <w:proofErr w:type="spellStart"/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41" w:type="pct"/>
          </w:tcPr>
          <w:p w14:paraId="4F6F8ED7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05C7A6D3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5757A286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EF459A" w:rsidRPr="008E624D" w14:paraId="008C9A24" w14:textId="77777777" w:rsidTr="00763ED8">
        <w:tc>
          <w:tcPr>
            <w:tcW w:w="556" w:type="pct"/>
          </w:tcPr>
          <w:p w14:paraId="0145E04A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5.2.</w:t>
            </w:r>
          </w:p>
        </w:tc>
        <w:tc>
          <w:tcPr>
            <w:tcW w:w="1752" w:type="pct"/>
          </w:tcPr>
          <w:p w14:paraId="70BA2ABB" w14:textId="77777777" w:rsidR="00EF459A" w:rsidRPr="008E624D" w:rsidRDefault="00EF459A" w:rsidP="00763ED8">
            <w:pPr>
              <w:jc w:val="left"/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Cena par balansēšanas elektroenerģijas pārdošanu atvērtā balansēšanas pakalpojuma nodrošinātājam</w:t>
            </w:r>
          </w:p>
        </w:tc>
        <w:tc>
          <w:tcPr>
            <w:tcW w:w="765" w:type="pct"/>
            <w:vAlign w:val="center"/>
          </w:tcPr>
          <w:p w14:paraId="31063C73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EUR/</w:t>
            </w:r>
            <w:proofErr w:type="spellStart"/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41" w:type="pct"/>
          </w:tcPr>
          <w:p w14:paraId="5749D82D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46F70C5E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0EA239B5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EF459A" w:rsidRPr="008E624D" w14:paraId="22BE2AFB" w14:textId="77777777" w:rsidTr="00763ED8">
        <w:tc>
          <w:tcPr>
            <w:tcW w:w="556" w:type="pct"/>
          </w:tcPr>
          <w:p w14:paraId="2D021233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  <w:t>6.</w:t>
            </w:r>
          </w:p>
        </w:tc>
        <w:tc>
          <w:tcPr>
            <w:tcW w:w="1752" w:type="pct"/>
          </w:tcPr>
          <w:p w14:paraId="4380EE11" w14:textId="77777777" w:rsidR="00EF459A" w:rsidRPr="008E624D" w:rsidRDefault="00EF459A" w:rsidP="00763ED8">
            <w:pPr>
              <w:jc w:val="left"/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  <w:t xml:space="preserve">Maksa par </w:t>
            </w:r>
            <w:proofErr w:type="spellStart"/>
            <w:r w:rsidRPr="008E624D"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  <w:t>nebalansu</w:t>
            </w:r>
            <w:proofErr w:type="spellEnd"/>
            <w:r w:rsidRPr="008E624D"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  <w:t xml:space="preserve"> Latvijā</w:t>
            </w:r>
          </w:p>
        </w:tc>
        <w:tc>
          <w:tcPr>
            <w:tcW w:w="765" w:type="pct"/>
            <w:vAlign w:val="center"/>
          </w:tcPr>
          <w:p w14:paraId="4439E8B7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1" w:type="pct"/>
          </w:tcPr>
          <w:p w14:paraId="7CA1913D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5D4DCC6A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0CA7F712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EF459A" w:rsidRPr="008E624D" w14:paraId="1571B431" w14:textId="77777777" w:rsidTr="00763ED8">
        <w:tc>
          <w:tcPr>
            <w:tcW w:w="556" w:type="pct"/>
          </w:tcPr>
          <w:p w14:paraId="7483B6EC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6.1.</w:t>
            </w:r>
          </w:p>
        </w:tc>
        <w:tc>
          <w:tcPr>
            <w:tcW w:w="1752" w:type="pct"/>
          </w:tcPr>
          <w:p w14:paraId="7C0D7078" w14:textId="77777777" w:rsidR="00EF459A" w:rsidRPr="008E624D" w:rsidRDefault="00EF459A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 xml:space="preserve">Vidējā maksa par </w:t>
            </w:r>
            <w:proofErr w:type="spellStart"/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nebalansu</w:t>
            </w:r>
            <w:proofErr w:type="spellEnd"/>
          </w:p>
        </w:tc>
        <w:tc>
          <w:tcPr>
            <w:tcW w:w="765" w:type="pct"/>
            <w:vAlign w:val="center"/>
          </w:tcPr>
          <w:p w14:paraId="2AA0ABCC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EUR/</w:t>
            </w:r>
            <w:proofErr w:type="spellStart"/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41" w:type="pct"/>
          </w:tcPr>
          <w:p w14:paraId="70EB82DA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1607EBEB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48F260A0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EF459A" w:rsidRPr="008E624D" w14:paraId="3DB4AEA7" w14:textId="77777777" w:rsidTr="00763ED8">
        <w:tc>
          <w:tcPr>
            <w:tcW w:w="556" w:type="pct"/>
          </w:tcPr>
          <w:p w14:paraId="461A7C04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6.2.</w:t>
            </w:r>
          </w:p>
        </w:tc>
        <w:tc>
          <w:tcPr>
            <w:tcW w:w="1752" w:type="pct"/>
          </w:tcPr>
          <w:p w14:paraId="0114727C" w14:textId="77777777" w:rsidR="00EF459A" w:rsidRPr="008E624D" w:rsidRDefault="00EF459A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 xml:space="preserve">Mēneša vidējā maksa par </w:t>
            </w:r>
            <w:proofErr w:type="spellStart"/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nebalansu</w:t>
            </w:r>
            <w:proofErr w:type="spellEnd"/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 xml:space="preserve"> pret mēneša vidējo nākamās dienas elektroenerģijas cenu</w:t>
            </w:r>
          </w:p>
        </w:tc>
        <w:tc>
          <w:tcPr>
            <w:tcW w:w="765" w:type="pct"/>
            <w:vAlign w:val="center"/>
          </w:tcPr>
          <w:p w14:paraId="0878A809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Koeficients</w:t>
            </w:r>
          </w:p>
        </w:tc>
        <w:tc>
          <w:tcPr>
            <w:tcW w:w="641" w:type="pct"/>
          </w:tcPr>
          <w:p w14:paraId="17D32276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19DDC8E5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6C70C7FA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EF459A" w:rsidRPr="008E624D" w14:paraId="57EEF582" w14:textId="77777777" w:rsidTr="00763ED8">
        <w:tc>
          <w:tcPr>
            <w:tcW w:w="556" w:type="pct"/>
          </w:tcPr>
          <w:p w14:paraId="579D2365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  <w:t>7.</w:t>
            </w:r>
          </w:p>
        </w:tc>
        <w:tc>
          <w:tcPr>
            <w:tcW w:w="1752" w:type="pct"/>
          </w:tcPr>
          <w:p w14:paraId="4263B4A8" w14:textId="77777777" w:rsidR="00EF459A" w:rsidRPr="008E624D" w:rsidRDefault="00EF459A" w:rsidP="00763ED8">
            <w:pPr>
              <w:jc w:val="left"/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  <w:t>Balansēšanas resursu aktivizācijas biežums:</w:t>
            </w:r>
          </w:p>
        </w:tc>
        <w:tc>
          <w:tcPr>
            <w:tcW w:w="765" w:type="pct"/>
          </w:tcPr>
          <w:p w14:paraId="06165824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1" w:type="pct"/>
          </w:tcPr>
          <w:p w14:paraId="22401F04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10F2B04D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49623744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EF459A" w:rsidRPr="008E624D" w14:paraId="5B17F5B2" w14:textId="77777777" w:rsidTr="00763ED8">
        <w:tc>
          <w:tcPr>
            <w:tcW w:w="556" w:type="pct"/>
          </w:tcPr>
          <w:p w14:paraId="054D52D9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7.1.</w:t>
            </w:r>
          </w:p>
        </w:tc>
        <w:tc>
          <w:tcPr>
            <w:tcW w:w="1752" w:type="pct"/>
          </w:tcPr>
          <w:p w14:paraId="0270016A" w14:textId="77777777" w:rsidR="00EF459A" w:rsidRPr="008E624D" w:rsidRDefault="00EF459A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proofErr w:type="spellStart"/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Nebalansa</w:t>
            </w:r>
            <w:proofErr w:type="spellEnd"/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 xml:space="preserve"> aprēķina periodu, kuros veikta normālā aktivizācija, īpatsvars no kopējā stundu skaita mēnesī</w:t>
            </w:r>
          </w:p>
        </w:tc>
        <w:tc>
          <w:tcPr>
            <w:tcW w:w="765" w:type="pct"/>
          </w:tcPr>
          <w:p w14:paraId="1DF2E3ED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%</w:t>
            </w:r>
          </w:p>
        </w:tc>
        <w:tc>
          <w:tcPr>
            <w:tcW w:w="641" w:type="pct"/>
          </w:tcPr>
          <w:p w14:paraId="0A1EB938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57B453B6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3BFC5A10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EF459A" w:rsidRPr="008E624D" w14:paraId="1E4802F4" w14:textId="77777777" w:rsidTr="00763ED8">
        <w:tc>
          <w:tcPr>
            <w:tcW w:w="556" w:type="pct"/>
          </w:tcPr>
          <w:p w14:paraId="41399E5B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8.</w:t>
            </w:r>
          </w:p>
        </w:tc>
        <w:tc>
          <w:tcPr>
            <w:tcW w:w="1752" w:type="pct"/>
          </w:tcPr>
          <w:p w14:paraId="5A7CEA17" w14:textId="77777777" w:rsidR="00EF459A" w:rsidRPr="008E624D" w:rsidRDefault="00EF459A" w:rsidP="00763ED8">
            <w:pPr>
              <w:jc w:val="left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Regulēšanas resursu pietiekamība:</w:t>
            </w:r>
          </w:p>
        </w:tc>
        <w:tc>
          <w:tcPr>
            <w:tcW w:w="765" w:type="pct"/>
          </w:tcPr>
          <w:p w14:paraId="052D56D1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1" w:type="pct"/>
          </w:tcPr>
          <w:p w14:paraId="376836F7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34116D8F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1BA4D9E6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EF459A" w:rsidRPr="008E624D" w14:paraId="493DFE10" w14:textId="77777777" w:rsidTr="00763ED8">
        <w:tc>
          <w:tcPr>
            <w:tcW w:w="556" w:type="pct"/>
          </w:tcPr>
          <w:p w14:paraId="4BA61F89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8.1.</w:t>
            </w:r>
          </w:p>
        </w:tc>
        <w:tc>
          <w:tcPr>
            <w:tcW w:w="1752" w:type="pct"/>
          </w:tcPr>
          <w:p w14:paraId="3F149CE4" w14:textId="77777777" w:rsidR="00EF459A" w:rsidRPr="008E624D" w:rsidRDefault="00EF459A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 xml:space="preserve">Vidējā summārā standarta produkta solījumos piedāvātā jauda </w:t>
            </w:r>
            <w:proofErr w:type="spellStart"/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nebalansa</w:t>
            </w:r>
            <w:proofErr w:type="spellEnd"/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 xml:space="preserve"> aprēķina periodā </w:t>
            </w:r>
            <w:proofErr w:type="spellStart"/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augšupvērstai</w:t>
            </w:r>
            <w:proofErr w:type="spellEnd"/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 xml:space="preserve"> aktivizācijai (izņemot Somijas un Zviedrijas solījumus)</w:t>
            </w:r>
          </w:p>
        </w:tc>
        <w:tc>
          <w:tcPr>
            <w:tcW w:w="765" w:type="pct"/>
            <w:vAlign w:val="center"/>
          </w:tcPr>
          <w:p w14:paraId="14D3B3AB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MW</w:t>
            </w:r>
          </w:p>
        </w:tc>
        <w:tc>
          <w:tcPr>
            <w:tcW w:w="641" w:type="pct"/>
          </w:tcPr>
          <w:p w14:paraId="18A05C9F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5B0E0DC3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4532CF0D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EF459A" w:rsidRPr="008E624D" w14:paraId="78AA11C1" w14:textId="77777777" w:rsidTr="00763ED8">
        <w:tc>
          <w:tcPr>
            <w:tcW w:w="556" w:type="pct"/>
          </w:tcPr>
          <w:p w14:paraId="6A488B92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8.2.</w:t>
            </w:r>
          </w:p>
        </w:tc>
        <w:tc>
          <w:tcPr>
            <w:tcW w:w="1752" w:type="pct"/>
          </w:tcPr>
          <w:p w14:paraId="7C1F3F1F" w14:textId="77777777" w:rsidR="00EF459A" w:rsidRPr="008E624D" w:rsidRDefault="00EF459A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 xml:space="preserve">Vidējā summārā standarta produkta solījumos piedāvātā jauda </w:t>
            </w:r>
            <w:proofErr w:type="spellStart"/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nebalansa</w:t>
            </w:r>
            <w:proofErr w:type="spellEnd"/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 xml:space="preserve"> aprēķina periodā lejup</w:t>
            </w: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vērstai aktivizācijai (izņemot Somijas un Zviedrijas solījumus)</w:t>
            </w:r>
          </w:p>
        </w:tc>
        <w:tc>
          <w:tcPr>
            <w:tcW w:w="765" w:type="pct"/>
            <w:vAlign w:val="center"/>
          </w:tcPr>
          <w:p w14:paraId="55C5755B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MW</w:t>
            </w:r>
          </w:p>
        </w:tc>
        <w:tc>
          <w:tcPr>
            <w:tcW w:w="641" w:type="pct"/>
          </w:tcPr>
          <w:p w14:paraId="13340FE2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4F521330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1AB6FA39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EF459A" w:rsidRPr="008E624D" w14:paraId="4A11748D" w14:textId="77777777" w:rsidTr="00763ED8">
        <w:tc>
          <w:tcPr>
            <w:tcW w:w="556" w:type="pct"/>
          </w:tcPr>
          <w:p w14:paraId="2F780A08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8.3.</w:t>
            </w:r>
          </w:p>
        </w:tc>
        <w:tc>
          <w:tcPr>
            <w:tcW w:w="1752" w:type="pct"/>
          </w:tcPr>
          <w:p w14:paraId="2B25A48E" w14:textId="77777777" w:rsidR="00EF459A" w:rsidRPr="008E624D" w:rsidRDefault="00EF459A" w:rsidP="00763ED8">
            <w:pPr>
              <w:jc w:val="lef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Nebalansa</w:t>
            </w:r>
            <w:proofErr w:type="spellEnd"/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 xml:space="preserve"> aprēķina periodu īpatsvars, kad normālai aktivizācijai izmantots speciālais produkts </w:t>
            </w:r>
          </w:p>
        </w:tc>
        <w:tc>
          <w:tcPr>
            <w:tcW w:w="765" w:type="pct"/>
            <w:vAlign w:val="center"/>
          </w:tcPr>
          <w:p w14:paraId="5E26B8A5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%</w:t>
            </w:r>
          </w:p>
        </w:tc>
        <w:tc>
          <w:tcPr>
            <w:tcW w:w="641" w:type="pct"/>
          </w:tcPr>
          <w:p w14:paraId="0E8682B6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595141C1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1D546773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</w:tbl>
    <w:p w14:paraId="1AB133E5" w14:textId="77777777" w:rsidR="00EF459A" w:rsidRPr="00D15675" w:rsidRDefault="00EF459A" w:rsidP="00EF459A">
      <w:pPr>
        <w:spacing w:before="130" w:line="260" w:lineRule="exact"/>
        <w:ind w:firstLine="539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2965"/>
        <w:gridCol w:w="4608"/>
      </w:tblGrid>
      <w:tr w:rsidR="00EF459A" w:rsidRPr="008E624D" w14:paraId="2AF66F49" w14:textId="77777777" w:rsidTr="00763ED8">
        <w:trPr>
          <w:trHeight w:val="227"/>
        </w:trPr>
        <w:tc>
          <w:tcPr>
            <w:tcW w:w="3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209689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5003" w:type="dxa"/>
          </w:tcPr>
          <w:p w14:paraId="4C3BBE0A" w14:textId="77777777" w:rsidR="00EF459A" w:rsidRPr="008E624D" w:rsidRDefault="00EF459A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</w:rPr>
            </w:pPr>
          </w:p>
        </w:tc>
      </w:tr>
      <w:tr w:rsidR="00EF459A" w:rsidRPr="001D6239" w14:paraId="3C34BBBF" w14:textId="77777777" w:rsidTr="00763ED8">
        <w:trPr>
          <w:trHeight w:val="227"/>
        </w:trPr>
        <w:tc>
          <w:tcPr>
            <w:tcW w:w="39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17FB57" w14:textId="77777777" w:rsidR="00EF459A" w:rsidRPr="001D6239" w:rsidRDefault="00EF459A" w:rsidP="00763ED8">
            <w:pPr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1D6239">
              <w:rPr>
                <w:rFonts w:ascii="Cambria" w:eastAsia="Times New Roman" w:hAnsi="Cambria"/>
                <w:sz w:val="17"/>
                <w:szCs w:val="17"/>
              </w:rPr>
              <w:t>/sagatavotāja vārds, uzvārds/</w:t>
            </w:r>
          </w:p>
        </w:tc>
        <w:tc>
          <w:tcPr>
            <w:tcW w:w="5003" w:type="dxa"/>
          </w:tcPr>
          <w:p w14:paraId="72121ECE" w14:textId="77777777" w:rsidR="00EF459A" w:rsidRPr="001D6239" w:rsidRDefault="00EF459A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7"/>
                <w:szCs w:val="17"/>
              </w:rPr>
            </w:pPr>
          </w:p>
        </w:tc>
      </w:tr>
      <w:tr w:rsidR="00EF459A" w:rsidRPr="008E624D" w14:paraId="6654304F" w14:textId="77777777" w:rsidTr="00763ED8">
        <w:trPr>
          <w:trHeight w:val="227"/>
        </w:trPr>
        <w:tc>
          <w:tcPr>
            <w:tcW w:w="733" w:type="dxa"/>
            <w:vAlign w:val="bottom"/>
            <w:hideMark/>
          </w:tcPr>
          <w:p w14:paraId="4E13726A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t>tālrunis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193927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5003" w:type="dxa"/>
          </w:tcPr>
          <w:p w14:paraId="71B2758A" w14:textId="77777777" w:rsidR="00EF459A" w:rsidRPr="008E624D" w:rsidRDefault="00EF459A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16"/>
              </w:rPr>
            </w:pPr>
          </w:p>
        </w:tc>
      </w:tr>
      <w:tr w:rsidR="00EF459A" w:rsidRPr="008E624D" w14:paraId="06057DC9" w14:textId="77777777" w:rsidTr="00763ED8">
        <w:trPr>
          <w:trHeight w:val="227"/>
        </w:trPr>
        <w:tc>
          <w:tcPr>
            <w:tcW w:w="733" w:type="dxa"/>
            <w:vAlign w:val="bottom"/>
          </w:tcPr>
          <w:p w14:paraId="46CE263C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8"/>
              </w:rPr>
            </w:pPr>
          </w:p>
        </w:tc>
        <w:tc>
          <w:tcPr>
            <w:tcW w:w="3195" w:type="dxa"/>
            <w:vAlign w:val="bottom"/>
          </w:tcPr>
          <w:p w14:paraId="6D9D95F9" w14:textId="77777777" w:rsidR="00EF459A" w:rsidRPr="008E624D" w:rsidRDefault="00EF459A" w:rsidP="00763ED8">
            <w:pPr>
              <w:jc w:val="center"/>
              <w:rPr>
                <w:rFonts w:ascii="Cambria" w:eastAsia="Times New Roman" w:hAnsi="Cambria"/>
                <w:sz w:val="19"/>
                <w:szCs w:val="8"/>
              </w:rPr>
            </w:pPr>
          </w:p>
        </w:tc>
        <w:tc>
          <w:tcPr>
            <w:tcW w:w="5003" w:type="dxa"/>
          </w:tcPr>
          <w:p w14:paraId="518F6AEA" w14:textId="77777777" w:rsidR="00EF459A" w:rsidRPr="008E624D" w:rsidRDefault="00EF459A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8"/>
              </w:rPr>
            </w:pPr>
          </w:p>
        </w:tc>
      </w:tr>
      <w:tr w:rsidR="00EF459A" w:rsidRPr="008E624D" w14:paraId="732B9C40" w14:textId="77777777" w:rsidTr="00763ED8">
        <w:trPr>
          <w:trHeight w:val="227"/>
        </w:trPr>
        <w:tc>
          <w:tcPr>
            <w:tcW w:w="733" w:type="dxa"/>
            <w:vAlign w:val="bottom"/>
            <w:hideMark/>
          </w:tcPr>
          <w:p w14:paraId="1BB73547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t>e-pasts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83B38B" w14:textId="77777777" w:rsidR="00EF459A" w:rsidRPr="008E624D" w:rsidRDefault="00EF459A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5003" w:type="dxa"/>
          </w:tcPr>
          <w:p w14:paraId="7D8BB1A9" w14:textId="77777777" w:rsidR="00EF459A" w:rsidRPr="008E624D" w:rsidRDefault="00EF459A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</w:rPr>
            </w:pPr>
          </w:p>
        </w:tc>
      </w:tr>
    </w:tbl>
    <w:p w14:paraId="6B1626D4" w14:textId="77777777" w:rsidR="00EF459A" w:rsidRDefault="00EF459A" w:rsidP="00EF459A">
      <w:pPr>
        <w:spacing w:before="130" w:line="260" w:lineRule="exact"/>
        <w:ind w:firstLine="539"/>
        <w:rPr>
          <w:rFonts w:ascii="Cambria" w:eastAsia="Times New Roman" w:hAnsi="Cambria"/>
          <w:sz w:val="19"/>
          <w:szCs w:val="24"/>
          <w:lang w:eastAsia="lv-LV"/>
        </w:rPr>
      </w:pPr>
    </w:p>
    <w:p w14:paraId="4BDC7C4A" w14:textId="77777777" w:rsidR="00FA0337" w:rsidRDefault="00D44D33"/>
    <w:sectPr w:rsidR="00FA03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9A"/>
    <w:rsid w:val="00106713"/>
    <w:rsid w:val="008311FA"/>
    <w:rsid w:val="00D44D33"/>
    <w:rsid w:val="00E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C92B"/>
  <w15:docId w15:val="{1AFC8C54-5065-4959-B2D9-99456E16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F459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1671</Words>
  <Characters>953</Characters>
  <Application>Microsoft Office Word</Application>
  <DocSecurity>0</DocSecurity>
  <Lines>7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 Škutāne</dc:creator>
  <cp:lastModifiedBy>Dace Kalniņa</cp:lastModifiedBy>
  <cp:revision>2</cp:revision>
  <dcterms:created xsi:type="dcterms:W3CDTF">2020-03-11T12:49:00Z</dcterms:created>
  <dcterms:modified xsi:type="dcterms:W3CDTF">2020-03-11T12:49:00Z</dcterms:modified>
</cp:coreProperties>
</file>