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9E72" w14:textId="14B80814" w:rsidR="00E46E8A" w:rsidRPr="0085695F" w:rsidRDefault="00181AF9" w:rsidP="00A84716">
      <w:pPr>
        <w:jc w:val="center"/>
        <w:rPr>
          <w:rFonts w:eastAsiaTheme="minorHAnsi"/>
          <w:b/>
          <w:color w:val="000000"/>
          <w:lang w:eastAsia="en-US"/>
        </w:rPr>
      </w:pPr>
      <w:r w:rsidRPr="0085695F">
        <w:rPr>
          <w:rFonts w:eastAsiaTheme="minorHAnsi"/>
          <w:b/>
          <w:color w:val="000000"/>
          <w:lang w:eastAsia="en-US"/>
        </w:rPr>
        <w:t xml:space="preserve">Priekšlikumu un komentāru apkopojums par </w:t>
      </w:r>
      <w:r w:rsidR="002010B7" w:rsidRPr="0085695F">
        <w:rPr>
          <w:rFonts w:eastAsiaTheme="minorHAnsi"/>
          <w:b/>
          <w:color w:val="000000"/>
          <w:lang w:eastAsia="en-US"/>
        </w:rPr>
        <w:t xml:space="preserve">konsultāciju dokumentu par atkārtotu publisko konsultāciju par piešķirto ierobežotu radiofrekvenču joslu lietošanas tiesību pārkārtošanu </w:t>
      </w:r>
      <w:bookmarkStart w:id="0" w:name="_Hlk234228981"/>
      <w:r w:rsidR="002010B7" w:rsidRPr="0085695F">
        <w:rPr>
          <w:rFonts w:eastAsiaTheme="minorHAnsi"/>
          <w:b/>
          <w:color w:val="000000"/>
          <w:lang w:eastAsia="en-US"/>
        </w:rPr>
        <w:t>3600 MHz diapazonā</w:t>
      </w:r>
      <w:bookmarkEnd w:id="0"/>
    </w:p>
    <w:tbl>
      <w:tblPr>
        <w:tblpPr w:leftFromText="180" w:rightFromText="180" w:vertAnchor="text" w:tblpXSpec="righ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898"/>
        <w:gridCol w:w="3502"/>
        <w:gridCol w:w="3817"/>
        <w:gridCol w:w="7513"/>
      </w:tblGrid>
      <w:tr w:rsidR="007014CF" w:rsidRPr="0085695F" w14:paraId="684E9756" w14:textId="77777777" w:rsidTr="0030090B">
        <w:trPr>
          <w:trHeight w:val="1962"/>
        </w:trPr>
        <w:tc>
          <w:tcPr>
            <w:tcW w:w="898" w:type="dxa"/>
            <w:tcBorders>
              <w:top w:val="single" w:sz="4" w:space="0" w:color="auto"/>
              <w:left w:val="single" w:sz="4" w:space="0" w:color="auto"/>
              <w:bottom w:val="single" w:sz="4" w:space="0" w:color="auto"/>
              <w:right w:val="single" w:sz="4" w:space="0" w:color="auto"/>
            </w:tcBorders>
            <w:hideMark/>
          </w:tcPr>
          <w:p w14:paraId="4808740C" w14:textId="77777777" w:rsidR="007014CF" w:rsidRPr="0085695F" w:rsidRDefault="007014CF" w:rsidP="00637360">
            <w:pPr>
              <w:spacing w:before="240"/>
            </w:pPr>
            <w:proofErr w:type="spellStart"/>
            <w:r w:rsidRPr="0085695F">
              <w:t>Nr.p.k</w:t>
            </w:r>
            <w:proofErr w:type="spellEnd"/>
            <w:r w:rsidRPr="0085695F">
              <w:t>.</w:t>
            </w:r>
          </w:p>
        </w:tc>
        <w:tc>
          <w:tcPr>
            <w:tcW w:w="3502" w:type="dxa"/>
            <w:tcBorders>
              <w:top w:val="single" w:sz="4" w:space="0" w:color="auto"/>
              <w:left w:val="single" w:sz="4" w:space="0" w:color="auto"/>
              <w:bottom w:val="single" w:sz="4" w:space="0" w:color="auto"/>
              <w:right w:val="single" w:sz="4" w:space="0" w:color="auto"/>
            </w:tcBorders>
            <w:hideMark/>
          </w:tcPr>
          <w:p w14:paraId="0758DB49" w14:textId="274E0A38" w:rsidR="007014CF" w:rsidRPr="0085695F" w:rsidRDefault="007014CF" w:rsidP="00637360">
            <w:pPr>
              <w:spacing w:before="240" w:after="120"/>
              <w:jc w:val="center"/>
              <w:rPr>
                <w:b/>
                <w:lang w:eastAsia="en-US"/>
              </w:rPr>
            </w:pPr>
            <w:r w:rsidRPr="0085695F">
              <w:rPr>
                <w:b/>
                <w:lang w:eastAsia="en-US"/>
              </w:rPr>
              <w:t>Konsultācijā nodotā projekta redakcijas (konkrētā jautājuma redakcija)</w:t>
            </w:r>
          </w:p>
        </w:tc>
        <w:tc>
          <w:tcPr>
            <w:tcW w:w="3817" w:type="dxa"/>
            <w:tcBorders>
              <w:top w:val="single" w:sz="4" w:space="0" w:color="auto"/>
              <w:left w:val="single" w:sz="4" w:space="0" w:color="auto"/>
              <w:bottom w:val="single" w:sz="4" w:space="0" w:color="auto"/>
              <w:right w:val="single" w:sz="4" w:space="0" w:color="auto"/>
            </w:tcBorders>
            <w:hideMark/>
          </w:tcPr>
          <w:p w14:paraId="76E13AB6" w14:textId="5F503574" w:rsidR="007014CF" w:rsidRPr="0085695F" w:rsidRDefault="007014CF" w:rsidP="00637360">
            <w:pPr>
              <w:spacing w:before="240" w:after="120"/>
              <w:jc w:val="center"/>
              <w:rPr>
                <w:b/>
                <w:lang w:eastAsia="en-US"/>
              </w:rPr>
            </w:pPr>
            <w:r w:rsidRPr="0085695F">
              <w:rPr>
                <w:b/>
                <w:lang w:eastAsia="en-US"/>
              </w:rPr>
              <w:t>Priekšlikumi un komentāri</w:t>
            </w:r>
          </w:p>
        </w:tc>
        <w:tc>
          <w:tcPr>
            <w:tcW w:w="7513" w:type="dxa"/>
            <w:tcBorders>
              <w:top w:val="single" w:sz="4" w:space="0" w:color="auto"/>
              <w:left w:val="single" w:sz="4" w:space="0" w:color="auto"/>
              <w:bottom w:val="single" w:sz="4" w:space="0" w:color="auto"/>
              <w:right w:val="single" w:sz="4" w:space="0" w:color="auto"/>
            </w:tcBorders>
            <w:hideMark/>
          </w:tcPr>
          <w:p w14:paraId="399644FD" w14:textId="23CB0643" w:rsidR="007014CF" w:rsidRPr="0085695F" w:rsidRDefault="007014CF" w:rsidP="00637360">
            <w:pPr>
              <w:spacing w:before="240" w:after="120"/>
              <w:jc w:val="center"/>
              <w:rPr>
                <w:b/>
                <w:lang w:eastAsia="en-US"/>
              </w:rPr>
            </w:pPr>
            <w:r w:rsidRPr="0085695F">
              <w:rPr>
                <w:b/>
                <w:lang w:eastAsia="en-US"/>
              </w:rPr>
              <w:t>Regulatora viedoklis par priekšlikumiem vai komentāriem (ir ņemts vērā vai informācija par alternatīvu risinājumu)</w:t>
            </w:r>
          </w:p>
        </w:tc>
      </w:tr>
      <w:tr w:rsidR="00637360" w:rsidRPr="0085695F" w14:paraId="2A685E73" w14:textId="77777777" w:rsidTr="00FC361E">
        <w:trPr>
          <w:trHeight w:val="529"/>
        </w:trPr>
        <w:tc>
          <w:tcPr>
            <w:tcW w:w="15730" w:type="dxa"/>
            <w:gridSpan w:val="4"/>
            <w:tcBorders>
              <w:top w:val="single" w:sz="4" w:space="0" w:color="auto"/>
              <w:left w:val="single" w:sz="4" w:space="0" w:color="auto"/>
              <w:bottom w:val="single" w:sz="4" w:space="0" w:color="auto"/>
              <w:right w:val="single" w:sz="4" w:space="0" w:color="auto"/>
            </w:tcBorders>
          </w:tcPr>
          <w:p w14:paraId="296BDF75" w14:textId="73CFA2B6" w:rsidR="00637360" w:rsidRPr="0085695F" w:rsidRDefault="00864791" w:rsidP="007014CF">
            <w:pPr>
              <w:pStyle w:val="Sarakstarindkopa"/>
              <w:numPr>
                <w:ilvl w:val="0"/>
                <w:numId w:val="15"/>
              </w:numPr>
              <w:spacing w:before="240"/>
              <w:rPr>
                <w:b/>
                <w:lang w:eastAsia="en-US"/>
              </w:rPr>
            </w:pPr>
            <w:r w:rsidRPr="0085695F">
              <w:rPr>
                <w:b/>
                <w:lang w:eastAsia="en-US"/>
              </w:rPr>
              <w:t xml:space="preserve">Jautājumi, par kuriem ir panākta vienošanās. </w:t>
            </w:r>
          </w:p>
        </w:tc>
      </w:tr>
      <w:tr w:rsidR="007014CF" w:rsidRPr="0085695F" w14:paraId="1CBD0432" w14:textId="77777777" w:rsidTr="0030090B">
        <w:trPr>
          <w:trHeight w:val="416"/>
        </w:trPr>
        <w:tc>
          <w:tcPr>
            <w:tcW w:w="898" w:type="dxa"/>
            <w:tcBorders>
              <w:top w:val="single" w:sz="4" w:space="0" w:color="auto"/>
              <w:left w:val="single" w:sz="4" w:space="0" w:color="auto"/>
              <w:bottom w:val="single" w:sz="4" w:space="0" w:color="auto"/>
              <w:right w:val="single" w:sz="4" w:space="0" w:color="auto"/>
            </w:tcBorders>
          </w:tcPr>
          <w:p w14:paraId="0ADC744C" w14:textId="3B5C7E02" w:rsidR="007014CF" w:rsidRPr="0085695F" w:rsidRDefault="007014CF" w:rsidP="00D57BD4">
            <w:pPr>
              <w:pStyle w:val="Stilstabulaa"/>
              <w:rPr>
                <w:sz w:val="24"/>
              </w:rPr>
            </w:pPr>
            <w:r w:rsidRPr="0085695F">
              <w:rPr>
                <w:sz w:val="24"/>
              </w:rPr>
              <w:t>1.</w:t>
            </w:r>
          </w:p>
        </w:tc>
        <w:tc>
          <w:tcPr>
            <w:tcW w:w="3502" w:type="dxa"/>
            <w:tcBorders>
              <w:top w:val="single" w:sz="4" w:space="0" w:color="auto"/>
              <w:left w:val="single" w:sz="4" w:space="0" w:color="auto"/>
              <w:bottom w:val="single" w:sz="4" w:space="0" w:color="auto"/>
              <w:right w:val="single" w:sz="4" w:space="0" w:color="auto"/>
            </w:tcBorders>
          </w:tcPr>
          <w:p w14:paraId="46663C35" w14:textId="3D6B4E94" w:rsidR="007014CF" w:rsidRPr="0085695F" w:rsidRDefault="007014CF" w:rsidP="00D57BD4">
            <w:pPr>
              <w:pStyle w:val="naisf"/>
              <w:spacing w:before="0" w:after="0"/>
              <w:ind w:firstLine="0"/>
            </w:pPr>
            <w:r w:rsidRPr="0085695F">
              <w:t xml:space="preserve">Vai atbalstāt Regulatora izstrādāto ceļa karti 3600 MHz diapazonā piešķirto </w:t>
            </w:r>
            <w:r w:rsidRPr="0085695F">
              <w:rPr>
                <w:rFonts w:cs="Tahoma"/>
              </w:rPr>
              <w:t xml:space="preserve">ierobežotu radiofrekvenču joslu </w:t>
            </w:r>
            <w:r w:rsidRPr="0085695F">
              <w:t>lietošanas tiesību pārkārtošanai.</w:t>
            </w:r>
          </w:p>
        </w:tc>
        <w:tc>
          <w:tcPr>
            <w:tcW w:w="3817" w:type="dxa"/>
            <w:tcBorders>
              <w:top w:val="single" w:sz="4" w:space="0" w:color="auto"/>
              <w:left w:val="single" w:sz="4" w:space="0" w:color="auto"/>
              <w:bottom w:val="single" w:sz="4" w:space="0" w:color="auto"/>
              <w:right w:val="single" w:sz="4" w:space="0" w:color="auto"/>
            </w:tcBorders>
          </w:tcPr>
          <w:p w14:paraId="19AB4189" w14:textId="7FA204D1" w:rsidR="007014CF" w:rsidRPr="0085695F" w:rsidRDefault="007014CF" w:rsidP="00D57BD4">
            <w:pPr>
              <w:pStyle w:val="Stilstabulaa"/>
              <w:rPr>
                <w:b/>
                <w:bCs/>
                <w:sz w:val="24"/>
              </w:rPr>
            </w:pPr>
            <w:r w:rsidRPr="0085695F">
              <w:rPr>
                <w:b/>
                <w:bCs/>
                <w:sz w:val="24"/>
              </w:rPr>
              <w:t>Sabiedrība ar ierobežotu atbildību “Elektroniskie sakari”</w:t>
            </w:r>
          </w:p>
          <w:p w14:paraId="09615FDE" w14:textId="77777777" w:rsidR="00C86792" w:rsidRPr="0085695F" w:rsidRDefault="00C86792" w:rsidP="00D57BD4">
            <w:pPr>
              <w:pStyle w:val="Stilstabulaa"/>
              <w:rPr>
                <w:sz w:val="24"/>
              </w:rPr>
            </w:pPr>
          </w:p>
          <w:p w14:paraId="5EF6AF95" w14:textId="17B9C2CC" w:rsidR="007014CF" w:rsidRPr="0085695F" w:rsidRDefault="007014CF" w:rsidP="00D57BD4">
            <w:pPr>
              <w:pStyle w:val="Stilstabulaa"/>
              <w:rPr>
                <w:sz w:val="24"/>
              </w:rPr>
            </w:pPr>
            <w:r w:rsidRPr="0085695F">
              <w:rPr>
                <w:sz w:val="24"/>
              </w:rPr>
              <w:t>Atbalsta dokument</w:t>
            </w:r>
            <w:r w:rsidR="00C86792" w:rsidRPr="0085695F">
              <w:rPr>
                <w:sz w:val="24"/>
              </w:rPr>
              <w:t>a turpmāku virzību</w:t>
            </w:r>
            <w:r w:rsidRPr="0085695F">
              <w:rPr>
                <w:sz w:val="24"/>
              </w:rPr>
              <w:t xml:space="preserve"> kopumā.</w:t>
            </w:r>
          </w:p>
          <w:p w14:paraId="338457B2" w14:textId="77777777" w:rsidR="007014CF" w:rsidRPr="0085695F" w:rsidRDefault="007014CF" w:rsidP="00D57BD4">
            <w:pPr>
              <w:pStyle w:val="Stilstabulaa"/>
              <w:rPr>
                <w:sz w:val="24"/>
              </w:rPr>
            </w:pPr>
          </w:p>
          <w:p w14:paraId="6671E44F" w14:textId="0B11DFEE" w:rsidR="007014CF" w:rsidRPr="0085695F" w:rsidRDefault="007014CF" w:rsidP="00D57BD4">
            <w:pPr>
              <w:pStyle w:val="Stilstabulaa"/>
              <w:rPr>
                <w:b/>
                <w:bCs/>
                <w:color w:val="000000" w:themeColor="text1"/>
                <w:sz w:val="24"/>
                <w:shd w:val="clear" w:color="auto" w:fill="FFFFFF"/>
              </w:rPr>
            </w:pPr>
            <w:r w:rsidRPr="0085695F">
              <w:rPr>
                <w:b/>
                <w:bCs/>
                <w:color w:val="000000" w:themeColor="text1"/>
                <w:sz w:val="24"/>
                <w:shd w:val="clear" w:color="auto" w:fill="FFFFFF"/>
              </w:rPr>
              <w:t>Viedās administrācijas un reģionālās attīstības ministrija</w:t>
            </w:r>
          </w:p>
          <w:p w14:paraId="0AA4FCA2" w14:textId="77777777" w:rsidR="00C86792" w:rsidRPr="0085695F" w:rsidRDefault="00C86792" w:rsidP="00D57BD4">
            <w:pPr>
              <w:pStyle w:val="Stilstabulaa"/>
              <w:rPr>
                <w:color w:val="000000" w:themeColor="text1"/>
                <w:sz w:val="24"/>
                <w:shd w:val="clear" w:color="auto" w:fill="FFFFFF"/>
              </w:rPr>
            </w:pPr>
          </w:p>
          <w:p w14:paraId="29787BE8" w14:textId="4C72D47D" w:rsidR="007014CF" w:rsidRPr="0085695F" w:rsidRDefault="007014CF" w:rsidP="00D57BD4">
            <w:pPr>
              <w:pStyle w:val="Stilstabulaa"/>
              <w:rPr>
                <w:color w:val="000000" w:themeColor="text1"/>
                <w:sz w:val="24"/>
                <w:shd w:val="clear" w:color="auto" w:fill="FFFFFF"/>
              </w:rPr>
            </w:pPr>
            <w:r w:rsidRPr="0085695F">
              <w:rPr>
                <w:color w:val="000000" w:themeColor="text1"/>
                <w:sz w:val="24"/>
                <w:shd w:val="clear" w:color="auto" w:fill="FFFFFF"/>
              </w:rPr>
              <w:t>Atbalsta dokument</w:t>
            </w:r>
            <w:r w:rsidR="00C86792" w:rsidRPr="0085695F">
              <w:rPr>
                <w:color w:val="000000" w:themeColor="text1"/>
                <w:sz w:val="24"/>
                <w:shd w:val="clear" w:color="auto" w:fill="FFFFFF"/>
              </w:rPr>
              <w:t>a tālāku</w:t>
            </w:r>
            <w:r w:rsidRPr="0085695F">
              <w:rPr>
                <w:color w:val="000000" w:themeColor="text1"/>
                <w:sz w:val="24"/>
                <w:shd w:val="clear" w:color="auto" w:fill="FFFFFF"/>
              </w:rPr>
              <w:t xml:space="preserve"> kopumā.</w:t>
            </w:r>
          </w:p>
          <w:p w14:paraId="0E203124" w14:textId="6EF24861" w:rsidR="00C86792" w:rsidRPr="0085695F" w:rsidRDefault="00C86792" w:rsidP="00D57BD4">
            <w:pPr>
              <w:pStyle w:val="Stilstabulaa"/>
              <w:rPr>
                <w:sz w:val="24"/>
              </w:rPr>
            </w:pPr>
            <w:bookmarkStart w:id="1" w:name="_Hlk234230163"/>
            <w:r w:rsidRPr="0085695F">
              <w:rPr>
                <w:color w:val="000000" w:themeColor="text1"/>
                <w:sz w:val="24"/>
                <w:shd w:val="clear" w:color="auto" w:fill="FFFFFF"/>
              </w:rPr>
              <w:t xml:space="preserve">Vienlaikus informē, ka ar 3600 MHz diapazona pārkārtošanu saistīto normatīvo aktu grozījumi: Ministru kabineta 2023. gada 10. janvāra noteikumos Nr. 3 "Nacionālais radiofrekvenču plāns" un Ministru kabineta 2022. gada 11. oktobra </w:t>
            </w:r>
            <w:r w:rsidRPr="0085695F">
              <w:rPr>
                <w:color w:val="000000" w:themeColor="text1"/>
                <w:sz w:val="24"/>
                <w:shd w:val="clear" w:color="auto" w:fill="FFFFFF"/>
              </w:rPr>
              <w:lastRenderedPageBreak/>
              <w:t>noteikumos Nr. 635 "Ierobežoto radiofrekvenču joslu noteikumi", kur iestrādāti atbilstošie nosacījumi vienlaidus trīs bloku izmantošanai 3410 - 3800 MHz joslā, tiks virzīti publiskai apspriešanai Tiesību aktu portālā.</w:t>
            </w:r>
          </w:p>
          <w:bookmarkEnd w:id="1"/>
          <w:p w14:paraId="56516F95" w14:textId="77777777" w:rsidR="007014CF" w:rsidRPr="0085695F" w:rsidRDefault="007014CF" w:rsidP="00D57BD4">
            <w:pPr>
              <w:pStyle w:val="Stilstabulaa"/>
              <w:rPr>
                <w:sz w:val="24"/>
              </w:rPr>
            </w:pPr>
          </w:p>
          <w:p w14:paraId="34EEF00F" w14:textId="77777777" w:rsidR="007014CF" w:rsidRPr="0085695F" w:rsidRDefault="007014CF" w:rsidP="00D57BD4">
            <w:pPr>
              <w:pStyle w:val="Stilstabulaa"/>
              <w:rPr>
                <w:b/>
                <w:bCs/>
                <w:sz w:val="24"/>
              </w:rPr>
            </w:pPr>
            <w:r w:rsidRPr="0085695F">
              <w:rPr>
                <w:b/>
                <w:bCs/>
                <w:sz w:val="24"/>
              </w:rPr>
              <w:t>“Latvijas Mobilais telefons” SIA</w:t>
            </w:r>
          </w:p>
          <w:p w14:paraId="15971B29" w14:textId="77777777" w:rsidR="005964B2" w:rsidRPr="0085695F" w:rsidRDefault="005964B2" w:rsidP="00D57BD4">
            <w:pPr>
              <w:pStyle w:val="Stilstabulaa"/>
              <w:rPr>
                <w:sz w:val="24"/>
              </w:rPr>
            </w:pPr>
          </w:p>
          <w:p w14:paraId="29E28B26" w14:textId="6C4EAB14" w:rsidR="007014CF" w:rsidRPr="0085695F" w:rsidRDefault="007014CF" w:rsidP="00D57BD4">
            <w:pPr>
              <w:pStyle w:val="Stilstabulaa"/>
              <w:rPr>
                <w:sz w:val="24"/>
              </w:rPr>
            </w:pPr>
            <w:r w:rsidRPr="0085695F">
              <w:rPr>
                <w:sz w:val="24"/>
              </w:rPr>
              <w:t>Atbalsta</w:t>
            </w:r>
            <w:r w:rsidR="005964B2" w:rsidRPr="0085695F">
              <w:rPr>
                <w:sz w:val="24"/>
              </w:rPr>
              <w:t xml:space="preserve"> 3.5GHz Ceļa karti kā konceptuālu ietvaru spektra pārkārtošanai. LMT ieskatā piedāvātā pieeja ir strukturēta un mērķtiecīga, nodrošinot nepieciešamo skaidrību, koordināciju un prognozējamību pārkārtošanas procesā.</w:t>
            </w:r>
          </w:p>
          <w:p w14:paraId="060E5B24" w14:textId="2A1F9DDC" w:rsidR="007014CF" w:rsidRPr="0085695F" w:rsidRDefault="007014CF" w:rsidP="00D57BD4">
            <w:pPr>
              <w:pStyle w:val="Stilstabulaa"/>
              <w:rPr>
                <w:sz w:val="24"/>
              </w:rPr>
            </w:pPr>
          </w:p>
          <w:p w14:paraId="208A34EE" w14:textId="059FCAED" w:rsidR="007014CF" w:rsidRPr="0085695F" w:rsidRDefault="007014CF" w:rsidP="00D57BD4">
            <w:pPr>
              <w:pStyle w:val="Stilstabulaa"/>
              <w:rPr>
                <w:b/>
                <w:bCs/>
                <w:sz w:val="24"/>
              </w:rPr>
            </w:pPr>
            <w:r w:rsidRPr="0085695F">
              <w:rPr>
                <w:b/>
                <w:bCs/>
                <w:sz w:val="24"/>
              </w:rPr>
              <w:t>Sabiedrība ar ierobežotu atbildību “TELE2”</w:t>
            </w:r>
          </w:p>
          <w:p w14:paraId="4829FBB1" w14:textId="77777777" w:rsidR="005964B2" w:rsidRPr="0085695F" w:rsidRDefault="005964B2" w:rsidP="00D57BD4">
            <w:pPr>
              <w:pStyle w:val="Stilstabulaa"/>
              <w:rPr>
                <w:color w:val="000000" w:themeColor="text1"/>
                <w:lang w:eastAsia="ar-SA"/>
              </w:rPr>
            </w:pPr>
          </w:p>
          <w:p w14:paraId="6EAD1719" w14:textId="64FC8BF8" w:rsidR="007014CF" w:rsidRPr="0085695F" w:rsidRDefault="007014CF" w:rsidP="00D57BD4">
            <w:pPr>
              <w:pStyle w:val="Stilstabulaa"/>
              <w:rPr>
                <w:color w:val="000000" w:themeColor="text1"/>
                <w:sz w:val="24"/>
                <w:lang w:eastAsia="ar-SA"/>
              </w:rPr>
            </w:pPr>
            <w:r w:rsidRPr="0085695F">
              <w:rPr>
                <w:color w:val="000000" w:themeColor="text1"/>
                <w:sz w:val="24"/>
                <w:lang w:eastAsia="ar-SA"/>
              </w:rPr>
              <w:t>Atbalsta</w:t>
            </w:r>
            <w:r w:rsidR="005964B2" w:rsidRPr="0085695F">
              <w:rPr>
                <w:color w:val="000000" w:themeColor="text1"/>
                <w:sz w:val="24"/>
                <w:lang w:eastAsia="ar-SA"/>
              </w:rPr>
              <w:t xml:space="preserve"> Regulatora izstrādāto Ceļa karti ierobežotu radiofrekvenču joslu lietošanas tiesību pārkārtošanai 3600 MHz diapazonā. Piedāvātā pieeja atbilst RSPG un CEPT rekomendācijām un rada optimālus tehniskos priekšnoteikumus 5G elektronisko sakaru tīkla kapacitātes palielināšanai, kā arī efektīvai radiofrekvenču spektra izmantošanai. Tele2 atbalsta arī konkursa rīkošanu </w:t>
            </w:r>
            <w:r w:rsidR="005964B2" w:rsidRPr="0085695F">
              <w:rPr>
                <w:color w:val="000000" w:themeColor="text1"/>
                <w:sz w:val="24"/>
                <w:lang w:eastAsia="ar-SA"/>
              </w:rPr>
              <w:lastRenderedPageBreak/>
              <w:t>par 40 MHz apjomu atbilstoši Ceļa kartē noteiktajam laika grafikam.</w:t>
            </w:r>
          </w:p>
          <w:p w14:paraId="74699E3D" w14:textId="77777777" w:rsidR="007014CF" w:rsidRPr="0085695F" w:rsidRDefault="007014CF" w:rsidP="00D57BD4">
            <w:pPr>
              <w:pStyle w:val="Stilstabulaa"/>
              <w:rPr>
                <w:color w:val="000000" w:themeColor="text1"/>
                <w:lang w:eastAsia="ar-SA"/>
              </w:rPr>
            </w:pPr>
          </w:p>
          <w:p w14:paraId="01FACC4E" w14:textId="77777777" w:rsidR="007014CF" w:rsidRPr="0085695F" w:rsidRDefault="007014CF" w:rsidP="00D57BD4">
            <w:pPr>
              <w:pStyle w:val="Stilstabulaa"/>
              <w:rPr>
                <w:b/>
                <w:bCs/>
                <w:sz w:val="24"/>
              </w:rPr>
            </w:pPr>
            <w:r w:rsidRPr="0085695F">
              <w:rPr>
                <w:b/>
                <w:bCs/>
                <w:sz w:val="24"/>
              </w:rPr>
              <w:t>SIA “BITE Latvija”</w:t>
            </w:r>
          </w:p>
          <w:p w14:paraId="75D201AD" w14:textId="77777777" w:rsidR="005964B2" w:rsidRPr="0085695F" w:rsidRDefault="005964B2" w:rsidP="00D57BD4">
            <w:pPr>
              <w:pStyle w:val="Stilstabulaa"/>
              <w:rPr>
                <w:sz w:val="24"/>
              </w:rPr>
            </w:pPr>
          </w:p>
          <w:p w14:paraId="5B20AAB9" w14:textId="299FD3F5" w:rsidR="007014CF" w:rsidRPr="0085695F" w:rsidRDefault="007014CF" w:rsidP="00D57BD4">
            <w:pPr>
              <w:pStyle w:val="Stilstabulaa"/>
              <w:rPr>
                <w:sz w:val="24"/>
              </w:rPr>
            </w:pPr>
            <w:r w:rsidRPr="0085695F">
              <w:rPr>
                <w:sz w:val="24"/>
              </w:rPr>
              <w:t>Atbalsta.</w:t>
            </w:r>
          </w:p>
        </w:tc>
        <w:tc>
          <w:tcPr>
            <w:tcW w:w="7513" w:type="dxa"/>
            <w:tcBorders>
              <w:top w:val="single" w:sz="4" w:space="0" w:color="auto"/>
              <w:left w:val="single" w:sz="4" w:space="0" w:color="auto"/>
              <w:bottom w:val="single" w:sz="4" w:space="0" w:color="auto"/>
              <w:right w:val="single" w:sz="4" w:space="0" w:color="auto"/>
            </w:tcBorders>
          </w:tcPr>
          <w:p w14:paraId="3B299DA9" w14:textId="2EB6D779" w:rsidR="007014CF" w:rsidRPr="0085695F" w:rsidRDefault="007014CF" w:rsidP="00D57BD4">
            <w:pPr>
              <w:pStyle w:val="Stilstabulaa"/>
              <w:rPr>
                <w:bCs/>
                <w:sz w:val="24"/>
              </w:rPr>
            </w:pPr>
            <w:bookmarkStart w:id="2" w:name="_Hlk234230063"/>
            <w:r w:rsidRPr="0085695F">
              <w:rPr>
                <w:bCs/>
                <w:sz w:val="24"/>
              </w:rPr>
              <w:lastRenderedPageBreak/>
              <w:t xml:space="preserve">Konsultāciju dokumentā iekļautā ceļa karte </w:t>
            </w:r>
            <w:r w:rsidRPr="0085695F">
              <w:rPr>
                <w:rFonts w:eastAsiaTheme="minorHAnsi"/>
                <w:bCs/>
                <w:color w:val="000000"/>
                <w:sz w:val="24"/>
              </w:rPr>
              <w:t>3600 MHz diapazona pārkārtošanai</w:t>
            </w:r>
            <w:r w:rsidRPr="0085695F">
              <w:rPr>
                <w:bCs/>
                <w:sz w:val="24"/>
              </w:rPr>
              <w:t xml:space="preserve"> apstiprināma ziņojuma veidā bez izmaiņām</w:t>
            </w:r>
            <w:r w:rsidR="00C86792" w:rsidRPr="0085695F">
              <w:rPr>
                <w:bCs/>
                <w:sz w:val="24"/>
              </w:rPr>
              <w:t xml:space="preserve"> pārkārtošan</w:t>
            </w:r>
            <w:r w:rsidR="00525CF3">
              <w:rPr>
                <w:bCs/>
                <w:sz w:val="24"/>
              </w:rPr>
              <w:t>a</w:t>
            </w:r>
            <w:r w:rsidR="00C86792" w:rsidRPr="0085695F">
              <w:rPr>
                <w:bCs/>
                <w:sz w:val="24"/>
              </w:rPr>
              <w:t>s procesā</w:t>
            </w:r>
            <w:r w:rsidRPr="0085695F">
              <w:rPr>
                <w:bCs/>
                <w:sz w:val="24"/>
              </w:rPr>
              <w:t xml:space="preserve"> pēc būtības.</w:t>
            </w:r>
          </w:p>
          <w:p w14:paraId="0619DE8D" w14:textId="77777777" w:rsidR="007014CF" w:rsidRPr="0085695F" w:rsidRDefault="007014CF" w:rsidP="00D57BD4">
            <w:pPr>
              <w:pStyle w:val="Stilstabulaa"/>
              <w:rPr>
                <w:sz w:val="24"/>
              </w:rPr>
            </w:pPr>
          </w:p>
          <w:p w14:paraId="1EEB70F8" w14:textId="4D66BEF7" w:rsidR="007014CF" w:rsidRPr="0085695F" w:rsidRDefault="007014CF" w:rsidP="00D57BD4">
            <w:pPr>
              <w:pStyle w:val="Stilstabulaa"/>
              <w:rPr>
                <w:sz w:val="24"/>
              </w:rPr>
            </w:pPr>
            <w:r w:rsidRPr="0085695F">
              <w:rPr>
                <w:sz w:val="24"/>
              </w:rPr>
              <w:t xml:space="preserve">Proti, ņemot vērā, ka sniegts atbalsts Regulatora piedāvātajam risinājumam par </w:t>
            </w:r>
            <w:r w:rsidRPr="0085695F">
              <w:rPr>
                <w:rFonts w:eastAsiaTheme="minorHAnsi"/>
                <w:bCs/>
                <w:color w:val="000000"/>
                <w:sz w:val="24"/>
              </w:rPr>
              <w:t>3600 MHz diapazona pārkārtošanas gaitu un kārtību,</w:t>
            </w:r>
            <w:r w:rsidRPr="0085695F">
              <w:rPr>
                <w:sz w:val="24"/>
              </w:rPr>
              <w:t xml:space="preserve"> Regulators minēt</w:t>
            </w:r>
            <w:r w:rsidR="0085695F">
              <w:rPr>
                <w:sz w:val="24"/>
              </w:rPr>
              <w:t>o</w:t>
            </w:r>
            <w:r w:rsidRPr="0085695F">
              <w:rPr>
                <w:sz w:val="24"/>
              </w:rPr>
              <w:t xml:space="preserve"> diapazon</w:t>
            </w:r>
            <w:r w:rsidR="0085695F">
              <w:rPr>
                <w:sz w:val="24"/>
              </w:rPr>
              <w:t>u</w:t>
            </w:r>
            <w:r w:rsidRPr="0085695F">
              <w:rPr>
                <w:sz w:val="24"/>
              </w:rPr>
              <w:t xml:space="preserve"> pārkārto</w:t>
            </w:r>
            <w:r w:rsidR="0085695F">
              <w:rPr>
                <w:sz w:val="24"/>
              </w:rPr>
              <w:t>s</w:t>
            </w:r>
            <w:r w:rsidRPr="0085695F">
              <w:rPr>
                <w:sz w:val="24"/>
              </w:rPr>
              <w:t xml:space="preserve"> saskaņā ar apstiprināto ziņojumu – ceļa karti un tajā iekļautajiem apsvērumiem.</w:t>
            </w:r>
          </w:p>
          <w:bookmarkEnd w:id="2"/>
          <w:p w14:paraId="60941486" w14:textId="77777777" w:rsidR="005964B2" w:rsidRPr="0085695F" w:rsidRDefault="005964B2" w:rsidP="00D57BD4">
            <w:pPr>
              <w:pStyle w:val="Stilstabulaa"/>
              <w:rPr>
                <w:sz w:val="24"/>
              </w:rPr>
            </w:pPr>
          </w:p>
          <w:p w14:paraId="0F426383" w14:textId="77655925" w:rsidR="005964B2" w:rsidRPr="0085695F" w:rsidRDefault="005964B2" w:rsidP="00D57BD4">
            <w:pPr>
              <w:pStyle w:val="Stilstabulaa"/>
              <w:rPr>
                <w:bCs/>
                <w:sz w:val="24"/>
              </w:rPr>
            </w:pPr>
          </w:p>
        </w:tc>
      </w:tr>
      <w:tr w:rsidR="007014CF" w:rsidRPr="0085695F" w14:paraId="0BEA9178" w14:textId="77777777" w:rsidTr="0030090B">
        <w:trPr>
          <w:trHeight w:val="1729"/>
        </w:trPr>
        <w:tc>
          <w:tcPr>
            <w:tcW w:w="898" w:type="dxa"/>
            <w:tcBorders>
              <w:top w:val="single" w:sz="4" w:space="0" w:color="auto"/>
              <w:left w:val="single" w:sz="4" w:space="0" w:color="auto"/>
              <w:bottom w:val="single" w:sz="4" w:space="0" w:color="auto"/>
              <w:right w:val="single" w:sz="4" w:space="0" w:color="auto"/>
            </w:tcBorders>
          </w:tcPr>
          <w:p w14:paraId="1F6E6EAC" w14:textId="2552E2F9" w:rsidR="007014CF" w:rsidRPr="0085695F" w:rsidRDefault="007014CF" w:rsidP="00D57BD4">
            <w:pPr>
              <w:pStyle w:val="Stilstabulaa"/>
              <w:rPr>
                <w:sz w:val="24"/>
              </w:rPr>
            </w:pPr>
            <w:r w:rsidRPr="0085695F">
              <w:rPr>
                <w:sz w:val="24"/>
              </w:rPr>
              <w:lastRenderedPageBreak/>
              <w:t>2.</w:t>
            </w:r>
          </w:p>
        </w:tc>
        <w:tc>
          <w:tcPr>
            <w:tcW w:w="3502" w:type="dxa"/>
            <w:tcBorders>
              <w:top w:val="single" w:sz="4" w:space="0" w:color="auto"/>
              <w:left w:val="single" w:sz="4" w:space="0" w:color="auto"/>
              <w:bottom w:val="single" w:sz="4" w:space="0" w:color="auto"/>
              <w:right w:val="single" w:sz="4" w:space="0" w:color="auto"/>
            </w:tcBorders>
          </w:tcPr>
          <w:p w14:paraId="6A9882D7" w14:textId="0725EF2D" w:rsidR="007014CF" w:rsidRPr="0085695F" w:rsidRDefault="007014CF" w:rsidP="00D57BD4">
            <w:pPr>
              <w:pStyle w:val="naisf"/>
              <w:spacing w:before="0" w:after="0"/>
              <w:ind w:firstLine="0"/>
              <w:rPr>
                <w:rFonts w:cs="Tahoma"/>
              </w:rPr>
            </w:pPr>
            <w:r w:rsidRPr="0085695F">
              <w:t>Vai saskatāt citu pieeju (lūdzam norādīt, kādu) un priekšlikumus 3600 MHz diapazona pārkārtošanai?</w:t>
            </w:r>
          </w:p>
        </w:tc>
        <w:tc>
          <w:tcPr>
            <w:tcW w:w="3817" w:type="dxa"/>
            <w:tcBorders>
              <w:top w:val="single" w:sz="4" w:space="0" w:color="auto"/>
              <w:left w:val="single" w:sz="4" w:space="0" w:color="auto"/>
              <w:bottom w:val="single" w:sz="4" w:space="0" w:color="auto"/>
              <w:right w:val="single" w:sz="4" w:space="0" w:color="auto"/>
            </w:tcBorders>
          </w:tcPr>
          <w:p w14:paraId="1A82C252" w14:textId="77777777" w:rsidR="007014CF" w:rsidRPr="0085695F" w:rsidRDefault="007014CF" w:rsidP="00D57BD4">
            <w:pPr>
              <w:pStyle w:val="Stilstabulaa"/>
              <w:rPr>
                <w:b/>
                <w:bCs/>
                <w:sz w:val="24"/>
              </w:rPr>
            </w:pPr>
            <w:r w:rsidRPr="0085695F">
              <w:rPr>
                <w:b/>
                <w:bCs/>
                <w:sz w:val="24"/>
              </w:rPr>
              <w:t>“Latvijas Mobilais telefons” SIA</w:t>
            </w:r>
          </w:p>
          <w:p w14:paraId="6F44326B" w14:textId="77777777" w:rsidR="003B64EE" w:rsidRPr="0085695F" w:rsidRDefault="003B64EE" w:rsidP="00D57BD4">
            <w:pPr>
              <w:pStyle w:val="Stilstabulaa"/>
              <w:rPr>
                <w:sz w:val="24"/>
              </w:rPr>
            </w:pPr>
          </w:p>
          <w:p w14:paraId="0C0946D6" w14:textId="77777777" w:rsidR="003B64EE" w:rsidRPr="0085695F" w:rsidRDefault="003B64EE" w:rsidP="00D57BD4">
            <w:pPr>
              <w:pStyle w:val="Stilstabulaa"/>
              <w:rPr>
                <w:sz w:val="24"/>
              </w:rPr>
            </w:pPr>
            <w:r w:rsidRPr="0085695F">
              <w:rPr>
                <w:sz w:val="24"/>
              </w:rPr>
              <w:t>LMT piekrīt gan pārejai uz trim vienlaidus 130 MHz spektra blokiem, gan veiktajam izvērtējumam attiecībā uz efektīvu spektra izmantošanu un līdzvērtīgu konkurences apstākļu nodrošināšanu. Šāda pieeja atbilst arī starptautiskajai praksei un rada priekšnoteikumus pilnvērtīgāku elektronisko sakaru pakalpojumu sniegšanai. Ņemot vērā plašo konsultāciju procesu un tajā paustos viedokļus, LMT šobrīd nesaskata alternatīvu pieeju, kas konceptuāli nodrošinātu efektīvāku rezultātu.</w:t>
            </w:r>
          </w:p>
          <w:p w14:paraId="30745B58" w14:textId="3336E24A" w:rsidR="003B64EE" w:rsidRPr="0085695F" w:rsidRDefault="003B64EE" w:rsidP="003B64EE">
            <w:pPr>
              <w:pStyle w:val="Sarakstarindkopa"/>
              <w:numPr>
                <w:ilvl w:val="0"/>
                <w:numId w:val="14"/>
              </w:numPr>
              <w:overflowPunct w:val="0"/>
              <w:autoSpaceDE w:val="0"/>
              <w:autoSpaceDN w:val="0"/>
              <w:adjustRightInd w:val="0"/>
              <w:spacing w:before="120"/>
              <w:contextualSpacing w:val="0"/>
              <w:jc w:val="both"/>
              <w:textAlignment w:val="baseline"/>
            </w:pPr>
            <w:r w:rsidRPr="0085695F">
              <w:t xml:space="preserve">  Atbalsta Ceļa kartes 1.1.</w:t>
            </w:r>
            <w:r w:rsidR="00697D30" w:rsidRPr="0085695F">
              <w:t> </w:t>
            </w:r>
            <w:r w:rsidRPr="0085695F">
              <w:t>punktā iekļauto plānu no 2029. gada 1. janvāra pārkārtot 3410MHz- 3800MHz radiofrekvenču spektra resursus trīs vienlaidus 130 MHz platos radiofrekvenču spektra blokos, to apstiprinot arī ar grozījumiem Nacionālajā radiofrekvenču plānā.</w:t>
            </w:r>
          </w:p>
          <w:p w14:paraId="10F713F7" w14:textId="77777777" w:rsidR="00697D30" w:rsidRPr="0085695F" w:rsidRDefault="00697D30" w:rsidP="00D57BD4">
            <w:pPr>
              <w:pStyle w:val="Stilstabulaa"/>
              <w:rPr>
                <w:b/>
                <w:bCs/>
                <w:sz w:val="24"/>
              </w:rPr>
            </w:pPr>
          </w:p>
          <w:p w14:paraId="16955BF5" w14:textId="0547077E" w:rsidR="007014CF" w:rsidRPr="0085695F" w:rsidRDefault="007014CF" w:rsidP="00D57BD4">
            <w:pPr>
              <w:pStyle w:val="Stilstabulaa"/>
              <w:rPr>
                <w:b/>
                <w:bCs/>
                <w:sz w:val="24"/>
              </w:rPr>
            </w:pPr>
            <w:r w:rsidRPr="0085695F">
              <w:rPr>
                <w:b/>
                <w:bCs/>
                <w:sz w:val="24"/>
              </w:rPr>
              <w:t>Sabiedrība ar ierobežotu atbildību  “TELE2”</w:t>
            </w:r>
          </w:p>
          <w:p w14:paraId="5E72A02D" w14:textId="77777777" w:rsidR="003B64EE" w:rsidRPr="0085695F" w:rsidRDefault="003B64EE" w:rsidP="00D57BD4">
            <w:pPr>
              <w:pStyle w:val="Stilstabulaa"/>
              <w:rPr>
                <w:color w:val="000000" w:themeColor="text1"/>
                <w:sz w:val="24"/>
                <w:lang w:eastAsia="ar-SA"/>
              </w:rPr>
            </w:pPr>
          </w:p>
          <w:p w14:paraId="353121A4" w14:textId="4A77885B" w:rsidR="007014CF" w:rsidRPr="0085695F" w:rsidRDefault="003B64EE" w:rsidP="00D57BD4">
            <w:pPr>
              <w:pStyle w:val="Stilstabulaa"/>
              <w:rPr>
                <w:color w:val="000000" w:themeColor="text1"/>
                <w:sz w:val="24"/>
                <w:lang w:eastAsia="ar-SA"/>
              </w:rPr>
            </w:pPr>
            <w:r w:rsidRPr="0085695F">
              <w:rPr>
                <w:color w:val="000000" w:themeColor="text1"/>
                <w:sz w:val="24"/>
                <w:lang w:eastAsia="ar-SA"/>
              </w:rPr>
              <w:t xml:space="preserve">Tele2 nesaskata nepieciešamību izstrādāt alternatīvu pieeju 3600 MHz diapazona pārkārtošanai. Regulatora izstrādātā Ceļa karte pienācīgi līdzsvaro  elektronisko sakaru komersantu intereses un ņem vērā to vajadzības. </w:t>
            </w:r>
          </w:p>
          <w:p w14:paraId="06F4D61E" w14:textId="77777777" w:rsidR="00697D30" w:rsidRPr="0085695F" w:rsidRDefault="00697D30" w:rsidP="00D57BD4">
            <w:pPr>
              <w:pStyle w:val="Stilstabulaa"/>
              <w:rPr>
                <w:b/>
                <w:bCs/>
                <w:sz w:val="24"/>
              </w:rPr>
            </w:pPr>
          </w:p>
          <w:p w14:paraId="38E471E9" w14:textId="3FCF18BD" w:rsidR="007014CF" w:rsidRPr="0085695F" w:rsidRDefault="007014CF" w:rsidP="00D57BD4">
            <w:pPr>
              <w:pStyle w:val="Stilstabulaa"/>
              <w:rPr>
                <w:b/>
                <w:bCs/>
                <w:sz w:val="24"/>
              </w:rPr>
            </w:pPr>
            <w:r w:rsidRPr="0085695F">
              <w:rPr>
                <w:b/>
                <w:bCs/>
                <w:sz w:val="24"/>
              </w:rPr>
              <w:t>SIA “BITE Latvija”</w:t>
            </w:r>
          </w:p>
          <w:p w14:paraId="357900CD" w14:textId="77777777" w:rsidR="003B64EE" w:rsidRPr="0085695F" w:rsidRDefault="003B64EE" w:rsidP="00D57BD4">
            <w:pPr>
              <w:pStyle w:val="Stilstabulaa"/>
              <w:rPr>
                <w:sz w:val="24"/>
              </w:rPr>
            </w:pPr>
          </w:p>
          <w:p w14:paraId="2EF2CF9D" w14:textId="1AC93EC0" w:rsidR="007014CF" w:rsidRPr="0085695F" w:rsidRDefault="007014CF" w:rsidP="00D57BD4">
            <w:pPr>
              <w:pStyle w:val="Stilstabulaa"/>
              <w:rPr>
                <w:sz w:val="24"/>
              </w:rPr>
            </w:pPr>
            <w:r w:rsidRPr="0085695F">
              <w:rPr>
                <w:sz w:val="24"/>
              </w:rPr>
              <w:t>Nesaskata.</w:t>
            </w:r>
            <w:r w:rsidR="003B64EE" w:rsidRPr="0085695F">
              <w:rPr>
                <w:sz w:val="24"/>
              </w:rPr>
              <w:t xml:space="preserve"> </w:t>
            </w:r>
            <w:r w:rsidR="003B64EE" w:rsidRPr="0085695F">
              <w:t xml:space="preserve"> </w:t>
            </w:r>
            <w:r w:rsidR="003B64EE" w:rsidRPr="0085695F">
              <w:rPr>
                <w:sz w:val="24"/>
              </w:rPr>
              <w:t>Uzskata, ka piedāvātā pieeja ir pamatota un racionāla.</w:t>
            </w:r>
          </w:p>
          <w:p w14:paraId="77E06172" w14:textId="44B400FE" w:rsidR="007014CF" w:rsidRPr="0085695F" w:rsidRDefault="007014CF" w:rsidP="00D57BD4">
            <w:pPr>
              <w:pStyle w:val="Stilstabulaa"/>
              <w:rPr>
                <w:sz w:val="24"/>
              </w:rPr>
            </w:pPr>
          </w:p>
        </w:tc>
        <w:tc>
          <w:tcPr>
            <w:tcW w:w="7513" w:type="dxa"/>
            <w:tcBorders>
              <w:top w:val="single" w:sz="4" w:space="0" w:color="auto"/>
              <w:left w:val="single" w:sz="4" w:space="0" w:color="auto"/>
              <w:bottom w:val="single" w:sz="4" w:space="0" w:color="auto"/>
              <w:right w:val="single" w:sz="4" w:space="0" w:color="auto"/>
            </w:tcBorders>
          </w:tcPr>
          <w:p w14:paraId="1A53E3A6" w14:textId="06390ED6" w:rsidR="007014CF" w:rsidRPr="0085695F" w:rsidRDefault="007014CF" w:rsidP="00D57BD4">
            <w:pPr>
              <w:pStyle w:val="Stilstabulaa"/>
              <w:rPr>
                <w:bCs/>
                <w:sz w:val="24"/>
              </w:rPr>
            </w:pPr>
            <w:r w:rsidRPr="0085695F">
              <w:rPr>
                <w:bCs/>
                <w:sz w:val="24"/>
              </w:rPr>
              <w:lastRenderedPageBreak/>
              <w:t xml:space="preserve">Konsultāciju dokumentā iekļautā ceļa karte </w:t>
            </w:r>
            <w:r w:rsidRPr="0085695F">
              <w:rPr>
                <w:rFonts w:eastAsiaTheme="minorHAnsi"/>
                <w:bCs/>
                <w:color w:val="000000"/>
                <w:sz w:val="24"/>
              </w:rPr>
              <w:t>3600 MHz diapazona pārkārtošanai</w:t>
            </w:r>
            <w:r w:rsidRPr="0085695F">
              <w:rPr>
                <w:bCs/>
                <w:sz w:val="24"/>
              </w:rPr>
              <w:t xml:space="preserve"> apstiprināma ziņojuma veidā bez izmaiņām </w:t>
            </w:r>
            <w:r w:rsidR="003B64EE" w:rsidRPr="0085695F">
              <w:rPr>
                <w:bCs/>
                <w:sz w:val="24"/>
              </w:rPr>
              <w:t>pārkārtošan</w:t>
            </w:r>
            <w:r w:rsidR="00525CF3">
              <w:rPr>
                <w:bCs/>
                <w:sz w:val="24"/>
              </w:rPr>
              <w:t>a</w:t>
            </w:r>
            <w:r w:rsidR="003B64EE" w:rsidRPr="0085695F">
              <w:rPr>
                <w:bCs/>
                <w:sz w:val="24"/>
              </w:rPr>
              <w:t xml:space="preserve">s procesā </w:t>
            </w:r>
            <w:r w:rsidRPr="0085695F">
              <w:rPr>
                <w:bCs/>
                <w:sz w:val="24"/>
              </w:rPr>
              <w:t>pēc būtības.</w:t>
            </w:r>
          </w:p>
          <w:p w14:paraId="38B79A82" w14:textId="77777777" w:rsidR="0000449B" w:rsidRPr="0085695F" w:rsidRDefault="0000449B" w:rsidP="00D57BD4">
            <w:pPr>
              <w:pStyle w:val="Stilstabulaa"/>
              <w:rPr>
                <w:sz w:val="24"/>
              </w:rPr>
            </w:pPr>
          </w:p>
          <w:p w14:paraId="76074F77" w14:textId="1C481413" w:rsidR="007014CF" w:rsidRPr="0085695F" w:rsidRDefault="007014CF" w:rsidP="00D57BD4">
            <w:pPr>
              <w:pStyle w:val="Stilstabulaa"/>
              <w:rPr>
                <w:bCs/>
                <w:sz w:val="24"/>
              </w:rPr>
            </w:pPr>
            <w:r w:rsidRPr="0085695F">
              <w:rPr>
                <w:sz w:val="24"/>
              </w:rPr>
              <w:t xml:space="preserve">Proti, ņemot vērā, ka sniegts atbalsts Regulatora piedāvātajam risinājumam par </w:t>
            </w:r>
            <w:r w:rsidRPr="0085695F">
              <w:rPr>
                <w:rFonts w:eastAsiaTheme="minorHAnsi"/>
                <w:bCs/>
                <w:color w:val="000000"/>
                <w:sz w:val="24"/>
              </w:rPr>
              <w:t>3600 MHz diapazona pārkārtošanas gaitu un kārtību,</w:t>
            </w:r>
            <w:r w:rsidRPr="0085695F">
              <w:rPr>
                <w:sz w:val="24"/>
              </w:rPr>
              <w:t xml:space="preserve"> Regulators minēt</w:t>
            </w:r>
            <w:r w:rsidR="0085695F">
              <w:rPr>
                <w:sz w:val="24"/>
              </w:rPr>
              <w:t>o</w:t>
            </w:r>
            <w:r w:rsidRPr="0085695F">
              <w:rPr>
                <w:sz w:val="24"/>
              </w:rPr>
              <w:t xml:space="preserve"> diapazon</w:t>
            </w:r>
            <w:r w:rsidR="0085695F">
              <w:rPr>
                <w:sz w:val="24"/>
              </w:rPr>
              <w:t>u</w:t>
            </w:r>
            <w:r w:rsidRPr="0085695F">
              <w:rPr>
                <w:sz w:val="24"/>
              </w:rPr>
              <w:t xml:space="preserve"> pārkārto</w:t>
            </w:r>
            <w:r w:rsidR="0085695F">
              <w:rPr>
                <w:sz w:val="24"/>
              </w:rPr>
              <w:t>s</w:t>
            </w:r>
            <w:r w:rsidRPr="0085695F">
              <w:rPr>
                <w:sz w:val="24"/>
              </w:rPr>
              <w:t xml:space="preserve"> saskaņā ar apstiprināto ziņojumu – ceļa karti un tajā iekļautajiem apsvērumiem.</w:t>
            </w:r>
            <w:r w:rsidR="003B64EE" w:rsidRPr="0085695F">
              <w:rPr>
                <w:sz w:val="24"/>
              </w:rPr>
              <w:t xml:space="preserve"> </w:t>
            </w:r>
          </w:p>
        </w:tc>
      </w:tr>
      <w:tr w:rsidR="007014CF" w:rsidRPr="0085695F" w14:paraId="214E06FD" w14:textId="77777777" w:rsidTr="0030090B">
        <w:trPr>
          <w:trHeight w:val="1729"/>
        </w:trPr>
        <w:tc>
          <w:tcPr>
            <w:tcW w:w="898" w:type="dxa"/>
            <w:tcBorders>
              <w:top w:val="single" w:sz="4" w:space="0" w:color="auto"/>
              <w:left w:val="single" w:sz="4" w:space="0" w:color="auto"/>
              <w:bottom w:val="single" w:sz="4" w:space="0" w:color="auto"/>
              <w:right w:val="single" w:sz="4" w:space="0" w:color="auto"/>
            </w:tcBorders>
          </w:tcPr>
          <w:p w14:paraId="7B356509" w14:textId="4E5BBAC2" w:rsidR="007014CF" w:rsidRPr="0085695F" w:rsidRDefault="007014CF" w:rsidP="00D57BD4">
            <w:pPr>
              <w:pStyle w:val="Stilstabulaa"/>
              <w:rPr>
                <w:sz w:val="24"/>
                <w:highlight w:val="yellow"/>
              </w:rPr>
            </w:pPr>
            <w:r w:rsidRPr="0085695F">
              <w:rPr>
                <w:sz w:val="24"/>
              </w:rPr>
              <w:t>3.</w:t>
            </w:r>
          </w:p>
        </w:tc>
        <w:tc>
          <w:tcPr>
            <w:tcW w:w="3502" w:type="dxa"/>
            <w:tcBorders>
              <w:top w:val="single" w:sz="4" w:space="0" w:color="auto"/>
              <w:left w:val="single" w:sz="4" w:space="0" w:color="auto"/>
              <w:bottom w:val="single" w:sz="4" w:space="0" w:color="auto"/>
              <w:right w:val="single" w:sz="4" w:space="0" w:color="auto"/>
            </w:tcBorders>
          </w:tcPr>
          <w:p w14:paraId="4A721749" w14:textId="1D4E679C" w:rsidR="007014CF" w:rsidRPr="0085695F" w:rsidRDefault="007014CF" w:rsidP="00635241">
            <w:pPr>
              <w:pStyle w:val="naisf"/>
              <w:spacing w:before="0" w:after="0"/>
              <w:ind w:firstLine="0"/>
              <w:rPr>
                <w:highlight w:val="yellow"/>
              </w:rPr>
            </w:pPr>
            <w:r w:rsidRPr="0085695F">
              <w:t>Vai piekrītat Regulatora piedāvātajam 130 MHz frekvenču bloku sadalījumam, kas minēts ceļa kartes 1.2. apakšpunktā?</w:t>
            </w:r>
          </w:p>
        </w:tc>
        <w:tc>
          <w:tcPr>
            <w:tcW w:w="3817" w:type="dxa"/>
            <w:tcBorders>
              <w:top w:val="single" w:sz="4" w:space="0" w:color="auto"/>
              <w:left w:val="single" w:sz="4" w:space="0" w:color="auto"/>
              <w:bottom w:val="single" w:sz="4" w:space="0" w:color="auto"/>
              <w:right w:val="single" w:sz="4" w:space="0" w:color="auto"/>
            </w:tcBorders>
          </w:tcPr>
          <w:p w14:paraId="3F955CA9" w14:textId="77777777" w:rsidR="007014CF" w:rsidRPr="0085695F" w:rsidRDefault="007014CF" w:rsidP="00D57BD4">
            <w:pPr>
              <w:pStyle w:val="Stilstabulaa"/>
              <w:rPr>
                <w:b/>
                <w:bCs/>
                <w:sz w:val="24"/>
              </w:rPr>
            </w:pPr>
            <w:r w:rsidRPr="0085695F">
              <w:rPr>
                <w:b/>
                <w:bCs/>
                <w:sz w:val="24"/>
              </w:rPr>
              <w:t>“Latvijas Mobilais telefons” SIA</w:t>
            </w:r>
          </w:p>
          <w:p w14:paraId="251DCBE2" w14:textId="77777777" w:rsidR="003B64EE" w:rsidRPr="0085695F" w:rsidRDefault="003B64EE" w:rsidP="00D57BD4">
            <w:pPr>
              <w:pStyle w:val="Stilstabulaa"/>
              <w:rPr>
                <w:sz w:val="24"/>
              </w:rPr>
            </w:pPr>
          </w:p>
          <w:p w14:paraId="0D0159BE" w14:textId="5619C48A" w:rsidR="007014CF" w:rsidRPr="0085695F" w:rsidRDefault="007014CF" w:rsidP="00D57BD4">
            <w:pPr>
              <w:pStyle w:val="Stilstabulaa"/>
              <w:rPr>
                <w:sz w:val="24"/>
              </w:rPr>
            </w:pPr>
            <w:r w:rsidRPr="0085695F">
              <w:rPr>
                <w:sz w:val="24"/>
              </w:rPr>
              <w:t>Atbalsta</w:t>
            </w:r>
            <w:r w:rsidR="003B64EE" w:rsidRPr="0085695F">
              <w:rPr>
                <w:sz w:val="24"/>
              </w:rPr>
              <w:t xml:space="preserve"> Regulatora piedāvāto radiofrekvenču spektra bloku atrašanās vietas sadalījumu diapazonā (Ceļa kartes 1.2.</w:t>
            </w:r>
            <w:r w:rsidR="00697D30" w:rsidRPr="0085695F">
              <w:rPr>
                <w:sz w:val="24"/>
              </w:rPr>
              <w:t> </w:t>
            </w:r>
            <w:r w:rsidR="003B64EE" w:rsidRPr="0085695F">
              <w:rPr>
                <w:sz w:val="24"/>
              </w:rPr>
              <w:t>punkts)</w:t>
            </w:r>
            <w:r w:rsidR="0000449B" w:rsidRPr="0085695F">
              <w:rPr>
                <w:sz w:val="24"/>
              </w:rPr>
              <w:t>.</w:t>
            </w:r>
          </w:p>
          <w:p w14:paraId="6E2B26BB" w14:textId="77777777" w:rsidR="007014CF" w:rsidRPr="0085695F" w:rsidRDefault="007014CF" w:rsidP="00D57BD4">
            <w:pPr>
              <w:pStyle w:val="Stilstabulaa"/>
              <w:rPr>
                <w:sz w:val="24"/>
              </w:rPr>
            </w:pPr>
          </w:p>
          <w:p w14:paraId="27355534" w14:textId="53D41C84" w:rsidR="007014CF" w:rsidRPr="0085695F" w:rsidRDefault="007014CF" w:rsidP="00D57BD4">
            <w:pPr>
              <w:pStyle w:val="Stilstabulaa"/>
              <w:rPr>
                <w:b/>
                <w:bCs/>
                <w:sz w:val="24"/>
              </w:rPr>
            </w:pPr>
            <w:r w:rsidRPr="0085695F">
              <w:rPr>
                <w:b/>
                <w:bCs/>
                <w:sz w:val="24"/>
              </w:rPr>
              <w:t>Sabiedrība ar ierobežotu atbildību  “TELE2”</w:t>
            </w:r>
          </w:p>
          <w:p w14:paraId="633E8262" w14:textId="77777777" w:rsidR="003B64EE" w:rsidRPr="0085695F" w:rsidRDefault="003B64EE" w:rsidP="00D57BD4">
            <w:pPr>
              <w:pStyle w:val="Stilstabulaa"/>
              <w:rPr>
                <w:color w:val="000000" w:themeColor="text1"/>
                <w:lang w:eastAsia="ar-SA"/>
              </w:rPr>
            </w:pPr>
          </w:p>
          <w:p w14:paraId="13C9BDD1" w14:textId="47F4C053" w:rsidR="007014CF" w:rsidRPr="0085695F" w:rsidRDefault="003B64EE" w:rsidP="00D57BD4">
            <w:pPr>
              <w:pStyle w:val="Stilstabulaa"/>
              <w:rPr>
                <w:color w:val="000000" w:themeColor="text1"/>
                <w:lang w:eastAsia="ar-SA"/>
              </w:rPr>
            </w:pPr>
            <w:r w:rsidRPr="0085695F">
              <w:rPr>
                <w:color w:val="000000" w:themeColor="text1"/>
                <w:sz w:val="24"/>
                <w:lang w:eastAsia="ar-SA"/>
              </w:rPr>
              <w:t>Tele2 piekrīt Ceļa kartes 1.2.</w:t>
            </w:r>
            <w:r w:rsidR="0000449B" w:rsidRPr="0085695F">
              <w:rPr>
                <w:color w:val="000000" w:themeColor="text1"/>
                <w:sz w:val="24"/>
                <w:lang w:eastAsia="ar-SA"/>
              </w:rPr>
              <w:t> </w:t>
            </w:r>
            <w:r w:rsidRPr="0085695F">
              <w:rPr>
                <w:color w:val="000000" w:themeColor="text1"/>
                <w:sz w:val="24"/>
                <w:lang w:eastAsia="ar-SA"/>
              </w:rPr>
              <w:t xml:space="preserve">apakšpunktā paredzētajam 130 MHz radiofrekvenču bloku sadalījumam, saskaņā ar kuru Tele2 tiek piešķirta radiofrekvenču josla 3540–3670 MHz. Piedāvātais </w:t>
            </w:r>
            <w:r w:rsidRPr="0085695F">
              <w:rPr>
                <w:color w:val="000000" w:themeColor="text1"/>
                <w:sz w:val="24"/>
                <w:lang w:eastAsia="ar-SA"/>
              </w:rPr>
              <w:lastRenderedPageBreak/>
              <w:t>sadalījums ļauj samazināt ar pārkārtošanu saistīto ieguldījumu apjomu un rada optimālus tehniskos priekšnoteikumus efektīvai 5G elektronisko sakaru tīkla darbībai.</w:t>
            </w:r>
            <w:r w:rsidRPr="0085695F">
              <w:rPr>
                <w:color w:val="000000" w:themeColor="text1"/>
                <w:lang w:eastAsia="ar-SA"/>
              </w:rPr>
              <w:t xml:space="preserve"> </w:t>
            </w:r>
          </w:p>
          <w:p w14:paraId="27621798" w14:textId="77777777" w:rsidR="007014CF" w:rsidRPr="0085695F" w:rsidRDefault="007014CF" w:rsidP="00D57BD4">
            <w:pPr>
              <w:pStyle w:val="Stilstabulaa"/>
              <w:rPr>
                <w:lang w:eastAsia="ar-SA"/>
              </w:rPr>
            </w:pPr>
          </w:p>
          <w:p w14:paraId="3D83C5A1" w14:textId="77777777" w:rsidR="007014CF" w:rsidRPr="0085695F" w:rsidRDefault="007014CF" w:rsidP="00D57BD4">
            <w:pPr>
              <w:pStyle w:val="Stilstabulaa"/>
              <w:rPr>
                <w:sz w:val="24"/>
              </w:rPr>
            </w:pPr>
            <w:r w:rsidRPr="0085695F">
              <w:rPr>
                <w:b/>
                <w:bCs/>
                <w:sz w:val="24"/>
              </w:rPr>
              <w:t>SIA “BITE Latvija”</w:t>
            </w:r>
          </w:p>
          <w:p w14:paraId="02422759" w14:textId="77777777" w:rsidR="003B64EE" w:rsidRPr="0085695F" w:rsidRDefault="003B64EE" w:rsidP="003B64EE">
            <w:pPr>
              <w:pStyle w:val="Stilstabulaa"/>
              <w:rPr>
                <w:bCs/>
                <w:sz w:val="24"/>
              </w:rPr>
            </w:pPr>
          </w:p>
          <w:p w14:paraId="32C5059E" w14:textId="04D970BF" w:rsidR="003B64EE" w:rsidRPr="0085695F" w:rsidRDefault="003B64EE" w:rsidP="003B64EE">
            <w:pPr>
              <w:pStyle w:val="Stilstabulaa"/>
              <w:rPr>
                <w:bCs/>
                <w:sz w:val="24"/>
              </w:rPr>
            </w:pPr>
            <w:r w:rsidRPr="0085695F">
              <w:rPr>
                <w:bCs/>
                <w:sz w:val="24"/>
              </w:rPr>
              <w:t xml:space="preserve">Piekrīt piedāvātajam 130 MHz frekvenču bloku sadalījumam, kas minēts Konsultāciju </w:t>
            </w:r>
          </w:p>
          <w:p w14:paraId="15F41FAB" w14:textId="285C11B7" w:rsidR="007014CF" w:rsidRPr="0085695F" w:rsidRDefault="003B64EE" w:rsidP="003B64EE">
            <w:pPr>
              <w:pStyle w:val="Stilstabulaa"/>
              <w:rPr>
                <w:bCs/>
                <w:sz w:val="24"/>
              </w:rPr>
            </w:pPr>
            <w:r w:rsidRPr="0085695F">
              <w:rPr>
                <w:bCs/>
                <w:sz w:val="24"/>
              </w:rPr>
              <w:t>dokumenta 1.2. apakšpunktā.</w:t>
            </w:r>
          </w:p>
        </w:tc>
        <w:tc>
          <w:tcPr>
            <w:tcW w:w="7513" w:type="dxa"/>
            <w:tcBorders>
              <w:top w:val="single" w:sz="4" w:space="0" w:color="auto"/>
              <w:left w:val="single" w:sz="4" w:space="0" w:color="auto"/>
              <w:bottom w:val="single" w:sz="4" w:space="0" w:color="auto"/>
              <w:right w:val="single" w:sz="4" w:space="0" w:color="auto"/>
            </w:tcBorders>
          </w:tcPr>
          <w:p w14:paraId="1E332AD9" w14:textId="16EA7F25" w:rsidR="007014CF" w:rsidRPr="0085695F" w:rsidRDefault="007014CF" w:rsidP="00D57BD4">
            <w:pPr>
              <w:pStyle w:val="Stilstabulaa"/>
              <w:rPr>
                <w:bCs/>
                <w:sz w:val="24"/>
              </w:rPr>
            </w:pPr>
            <w:r w:rsidRPr="0085695F">
              <w:rPr>
                <w:bCs/>
                <w:sz w:val="24"/>
              </w:rPr>
              <w:lastRenderedPageBreak/>
              <w:t xml:space="preserve">Konsultāciju dokumentā iekļautā ceļa karte </w:t>
            </w:r>
            <w:r w:rsidRPr="0085695F">
              <w:rPr>
                <w:rFonts w:eastAsiaTheme="minorHAnsi"/>
                <w:bCs/>
                <w:color w:val="000000"/>
                <w:sz w:val="24"/>
              </w:rPr>
              <w:t>3600 MHz diapazona pārkārtošanai</w:t>
            </w:r>
            <w:r w:rsidRPr="0085695F">
              <w:rPr>
                <w:bCs/>
                <w:sz w:val="24"/>
              </w:rPr>
              <w:t xml:space="preserve"> apstiprināma ziņojuma veidā bez izmaiņām </w:t>
            </w:r>
            <w:r w:rsidR="003B64EE" w:rsidRPr="0085695F">
              <w:rPr>
                <w:bCs/>
                <w:sz w:val="24"/>
              </w:rPr>
              <w:t>pārkārtošan</w:t>
            </w:r>
            <w:r w:rsidR="00525CF3">
              <w:rPr>
                <w:bCs/>
                <w:sz w:val="24"/>
              </w:rPr>
              <w:t>a</w:t>
            </w:r>
            <w:r w:rsidR="003B64EE" w:rsidRPr="0085695F">
              <w:rPr>
                <w:bCs/>
                <w:sz w:val="24"/>
              </w:rPr>
              <w:t xml:space="preserve">s procesā </w:t>
            </w:r>
            <w:r w:rsidRPr="0085695F">
              <w:rPr>
                <w:bCs/>
                <w:sz w:val="24"/>
              </w:rPr>
              <w:t>pēc būtības.</w:t>
            </w:r>
          </w:p>
          <w:p w14:paraId="3ECFF721" w14:textId="77777777" w:rsidR="0000449B" w:rsidRPr="0085695F" w:rsidRDefault="0000449B" w:rsidP="00D57BD4">
            <w:pPr>
              <w:pStyle w:val="Stilstabulaa"/>
              <w:rPr>
                <w:sz w:val="24"/>
              </w:rPr>
            </w:pPr>
          </w:p>
          <w:p w14:paraId="516F95EC" w14:textId="5EB80377" w:rsidR="007014CF" w:rsidRPr="0085695F" w:rsidRDefault="007014CF" w:rsidP="00D57BD4">
            <w:pPr>
              <w:pStyle w:val="Stilstabulaa"/>
              <w:rPr>
                <w:bCs/>
                <w:sz w:val="24"/>
              </w:rPr>
            </w:pPr>
            <w:r w:rsidRPr="0085695F">
              <w:rPr>
                <w:sz w:val="24"/>
              </w:rPr>
              <w:t xml:space="preserve">Proti, ņemot vērā, ka sniegts atbalsts Regulatora piedāvātajam risinājumam par </w:t>
            </w:r>
            <w:r w:rsidRPr="0085695F">
              <w:rPr>
                <w:rFonts w:eastAsiaTheme="minorHAnsi"/>
                <w:bCs/>
                <w:color w:val="000000"/>
                <w:sz w:val="24"/>
              </w:rPr>
              <w:t>3600 MHz diapazona pārkārtošanas gaitu un kārtību,</w:t>
            </w:r>
            <w:r w:rsidRPr="0085695F">
              <w:rPr>
                <w:sz w:val="24"/>
              </w:rPr>
              <w:t xml:space="preserve"> Regulators minēt</w:t>
            </w:r>
            <w:r w:rsidR="0085695F">
              <w:rPr>
                <w:sz w:val="24"/>
              </w:rPr>
              <w:t>o</w:t>
            </w:r>
            <w:r w:rsidRPr="0085695F">
              <w:rPr>
                <w:sz w:val="24"/>
              </w:rPr>
              <w:t xml:space="preserve"> diapazon</w:t>
            </w:r>
            <w:r w:rsidR="0085695F">
              <w:rPr>
                <w:sz w:val="24"/>
              </w:rPr>
              <w:t>u</w:t>
            </w:r>
            <w:r w:rsidRPr="0085695F">
              <w:rPr>
                <w:sz w:val="24"/>
              </w:rPr>
              <w:t xml:space="preserve"> pārkārto</w:t>
            </w:r>
            <w:r w:rsidR="0085695F">
              <w:rPr>
                <w:sz w:val="24"/>
              </w:rPr>
              <w:t>s</w:t>
            </w:r>
            <w:r w:rsidRPr="0085695F">
              <w:rPr>
                <w:sz w:val="24"/>
              </w:rPr>
              <w:t xml:space="preserve"> saskaņā ar apstiprināto ziņojumu – ceļa karti un tajā iekļautajiem apsvērumiem.</w:t>
            </w:r>
          </w:p>
        </w:tc>
      </w:tr>
      <w:tr w:rsidR="007014CF" w:rsidRPr="0085695F" w14:paraId="3806BE87" w14:textId="77777777" w:rsidTr="0000449B">
        <w:trPr>
          <w:trHeight w:val="46"/>
        </w:trPr>
        <w:tc>
          <w:tcPr>
            <w:tcW w:w="898" w:type="dxa"/>
            <w:tcBorders>
              <w:top w:val="single" w:sz="4" w:space="0" w:color="auto"/>
              <w:left w:val="single" w:sz="4" w:space="0" w:color="auto"/>
              <w:bottom w:val="single" w:sz="4" w:space="0" w:color="auto"/>
              <w:right w:val="single" w:sz="4" w:space="0" w:color="auto"/>
            </w:tcBorders>
          </w:tcPr>
          <w:p w14:paraId="19883898" w14:textId="28196E45" w:rsidR="007014CF" w:rsidRPr="0085695F" w:rsidRDefault="007014CF" w:rsidP="006D22E1">
            <w:pPr>
              <w:pStyle w:val="Stilstabulaa"/>
              <w:rPr>
                <w:sz w:val="24"/>
              </w:rPr>
            </w:pPr>
            <w:r w:rsidRPr="0085695F">
              <w:rPr>
                <w:sz w:val="24"/>
              </w:rPr>
              <w:t>4.</w:t>
            </w:r>
          </w:p>
          <w:p w14:paraId="5D6BD0C8" w14:textId="77777777" w:rsidR="007014CF" w:rsidRPr="0085695F" w:rsidRDefault="007014CF" w:rsidP="006D22E1">
            <w:pPr>
              <w:pStyle w:val="Stilstabulaa"/>
              <w:rPr>
                <w:sz w:val="24"/>
              </w:rPr>
            </w:pPr>
          </w:p>
        </w:tc>
        <w:tc>
          <w:tcPr>
            <w:tcW w:w="3502" w:type="dxa"/>
            <w:tcBorders>
              <w:top w:val="single" w:sz="4" w:space="0" w:color="auto"/>
              <w:left w:val="single" w:sz="4" w:space="0" w:color="auto"/>
              <w:bottom w:val="single" w:sz="4" w:space="0" w:color="auto"/>
              <w:right w:val="single" w:sz="4" w:space="0" w:color="auto"/>
            </w:tcBorders>
          </w:tcPr>
          <w:p w14:paraId="0C3575D5" w14:textId="2D44DFCF" w:rsidR="007014CF" w:rsidRPr="0085695F" w:rsidRDefault="007014CF" w:rsidP="00635241">
            <w:pPr>
              <w:pStyle w:val="naisf"/>
              <w:spacing w:before="0" w:after="0"/>
              <w:ind w:firstLine="0"/>
            </w:pPr>
            <w:r w:rsidRPr="0085695F">
              <w:t>Vai saskatāt citu pieeju (lūdzam norādīt, kādu) un priekšlikumus piedāvātajam 130 MHz frekvenču bloku sadalījumam?</w:t>
            </w:r>
          </w:p>
        </w:tc>
        <w:tc>
          <w:tcPr>
            <w:tcW w:w="3817" w:type="dxa"/>
            <w:tcBorders>
              <w:top w:val="single" w:sz="4" w:space="0" w:color="auto"/>
              <w:left w:val="single" w:sz="4" w:space="0" w:color="auto"/>
              <w:bottom w:val="single" w:sz="4" w:space="0" w:color="auto"/>
              <w:right w:val="single" w:sz="4" w:space="0" w:color="auto"/>
            </w:tcBorders>
          </w:tcPr>
          <w:p w14:paraId="015F4EFA" w14:textId="77777777" w:rsidR="007014CF" w:rsidRPr="0085695F" w:rsidRDefault="007014CF" w:rsidP="006D22E1">
            <w:pPr>
              <w:pStyle w:val="Stilstabulaa"/>
              <w:rPr>
                <w:sz w:val="24"/>
              </w:rPr>
            </w:pPr>
          </w:p>
          <w:p w14:paraId="40656BEA" w14:textId="77777777" w:rsidR="007014CF" w:rsidRPr="0085695F" w:rsidRDefault="007014CF" w:rsidP="006D22E1">
            <w:pPr>
              <w:pStyle w:val="Stilstabulaa"/>
              <w:rPr>
                <w:b/>
                <w:bCs/>
                <w:sz w:val="24"/>
              </w:rPr>
            </w:pPr>
            <w:r w:rsidRPr="0085695F">
              <w:rPr>
                <w:b/>
                <w:bCs/>
                <w:sz w:val="24"/>
              </w:rPr>
              <w:t>“Latvijas Mobilais telefons” SIA</w:t>
            </w:r>
          </w:p>
          <w:p w14:paraId="56DF38AC" w14:textId="77777777" w:rsidR="003B64EE" w:rsidRPr="0085695F" w:rsidRDefault="003B64EE" w:rsidP="006D22E1">
            <w:pPr>
              <w:pStyle w:val="Stilstabulaa"/>
              <w:rPr>
                <w:sz w:val="24"/>
              </w:rPr>
            </w:pPr>
          </w:p>
          <w:p w14:paraId="0DE9D876" w14:textId="5C44CFA8" w:rsidR="007014CF" w:rsidRPr="0085695F" w:rsidRDefault="007014CF" w:rsidP="006D22E1">
            <w:pPr>
              <w:pStyle w:val="Stilstabulaa"/>
              <w:rPr>
                <w:sz w:val="24"/>
              </w:rPr>
            </w:pPr>
            <w:r w:rsidRPr="0085695F">
              <w:rPr>
                <w:sz w:val="24"/>
              </w:rPr>
              <w:t>Nesaskata.</w:t>
            </w:r>
          </w:p>
          <w:p w14:paraId="5F21EDBF" w14:textId="77777777" w:rsidR="007014CF" w:rsidRPr="0085695F" w:rsidRDefault="007014CF" w:rsidP="006D22E1">
            <w:pPr>
              <w:pStyle w:val="Stilstabulaa"/>
              <w:rPr>
                <w:sz w:val="24"/>
              </w:rPr>
            </w:pPr>
          </w:p>
          <w:p w14:paraId="33AAB225" w14:textId="0F9D18A0" w:rsidR="007014CF" w:rsidRPr="0085695F" w:rsidRDefault="007014CF" w:rsidP="006D22E1">
            <w:pPr>
              <w:pStyle w:val="Stilstabulaa"/>
              <w:rPr>
                <w:b/>
                <w:bCs/>
                <w:sz w:val="24"/>
              </w:rPr>
            </w:pPr>
            <w:r w:rsidRPr="0085695F">
              <w:rPr>
                <w:b/>
                <w:bCs/>
                <w:sz w:val="24"/>
              </w:rPr>
              <w:t>Sabiedrība ar ierobežotu atbildību  “TELE2”</w:t>
            </w:r>
          </w:p>
          <w:p w14:paraId="1A0E55EE" w14:textId="77777777" w:rsidR="00697D30" w:rsidRPr="0085695F" w:rsidRDefault="00697D30" w:rsidP="006D22E1">
            <w:pPr>
              <w:pStyle w:val="Stilstabulaa"/>
              <w:rPr>
                <w:color w:val="000000" w:themeColor="text1"/>
                <w:sz w:val="24"/>
                <w:lang w:eastAsia="ar-SA"/>
              </w:rPr>
            </w:pPr>
          </w:p>
          <w:p w14:paraId="368115A6" w14:textId="6DA6260B" w:rsidR="007014CF" w:rsidRPr="0085695F" w:rsidRDefault="007014CF" w:rsidP="006D22E1">
            <w:pPr>
              <w:pStyle w:val="Stilstabulaa"/>
              <w:rPr>
                <w:color w:val="000000" w:themeColor="text1"/>
                <w:sz w:val="24"/>
                <w:lang w:eastAsia="ar-SA"/>
              </w:rPr>
            </w:pPr>
            <w:r w:rsidRPr="0085695F">
              <w:rPr>
                <w:color w:val="000000" w:themeColor="text1"/>
                <w:sz w:val="24"/>
                <w:lang w:eastAsia="ar-SA"/>
              </w:rPr>
              <w:t>Nesaskata</w:t>
            </w:r>
            <w:r w:rsidR="003B64EE" w:rsidRPr="0085695F">
              <w:rPr>
                <w:color w:val="000000" w:themeColor="text1"/>
                <w:sz w:val="24"/>
                <w:lang w:eastAsia="ar-SA"/>
              </w:rPr>
              <w:t xml:space="preserve"> pamatu piedāvāt alternatīvu 130 MHz radiofrekvenču bloku sadalījumu  un neizsaka priekšlikumus par tā grozīšanu</w:t>
            </w:r>
            <w:r w:rsidRPr="0085695F">
              <w:rPr>
                <w:color w:val="000000" w:themeColor="text1"/>
                <w:sz w:val="24"/>
                <w:lang w:eastAsia="ar-SA"/>
              </w:rPr>
              <w:t>.</w:t>
            </w:r>
          </w:p>
          <w:p w14:paraId="112863D7" w14:textId="77777777" w:rsidR="007014CF" w:rsidRPr="0085695F" w:rsidRDefault="007014CF" w:rsidP="006D22E1">
            <w:pPr>
              <w:pStyle w:val="Stilstabulaa"/>
              <w:rPr>
                <w:color w:val="000000" w:themeColor="text1"/>
                <w:sz w:val="24"/>
                <w:lang w:eastAsia="ar-SA"/>
              </w:rPr>
            </w:pPr>
          </w:p>
          <w:p w14:paraId="558ADD1C" w14:textId="6D1463CD" w:rsidR="007014CF" w:rsidRPr="0085695F" w:rsidRDefault="007014CF" w:rsidP="006D22E1">
            <w:pPr>
              <w:pStyle w:val="Stilstabulaa"/>
              <w:rPr>
                <w:b/>
                <w:bCs/>
                <w:sz w:val="24"/>
              </w:rPr>
            </w:pPr>
            <w:r w:rsidRPr="0085695F">
              <w:rPr>
                <w:b/>
                <w:bCs/>
                <w:sz w:val="24"/>
              </w:rPr>
              <w:t>SIA “BITE Latvija”</w:t>
            </w:r>
          </w:p>
          <w:p w14:paraId="3861B236" w14:textId="77777777" w:rsidR="0000449B" w:rsidRPr="0085695F" w:rsidRDefault="0000449B" w:rsidP="006D22E1">
            <w:pPr>
              <w:pStyle w:val="Stilstabulaa"/>
              <w:rPr>
                <w:sz w:val="24"/>
              </w:rPr>
            </w:pPr>
          </w:p>
          <w:p w14:paraId="79F61270" w14:textId="1297A95F" w:rsidR="007014CF" w:rsidRPr="0085695F" w:rsidRDefault="007014CF" w:rsidP="006D22E1">
            <w:pPr>
              <w:pStyle w:val="Stilstabulaa"/>
              <w:rPr>
                <w:b/>
                <w:bCs/>
                <w:sz w:val="24"/>
              </w:rPr>
            </w:pPr>
            <w:r w:rsidRPr="0085695F">
              <w:rPr>
                <w:sz w:val="24"/>
              </w:rPr>
              <w:t>Nesaskata</w:t>
            </w:r>
            <w:r w:rsidR="003B64EE" w:rsidRPr="0085695F">
              <w:rPr>
                <w:sz w:val="24"/>
              </w:rPr>
              <w:t xml:space="preserve"> </w:t>
            </w:r>
            <w:r w:rsidR="003B64EE" w:rsidRPr="0085695F">
              <w:t xml:space="preserve"> </w:t>
            </w:r>
            <w:r w:rsidR="003B64EE" w:rsidRPr="0085695F">
              <w:rPr>
                <w:sz w:val="24"/>
              </w:rPr>
              <w:t>nepieciešamību citādam bloku sadalījumam</w:t>
            </w:r>
            <w:r w:rsidRPr="0085695F">
              <w:rPr>
                <w:sz w:val="24"/>
              </w:rPr>
              <w:t>.</w:t>
            </w:r>
          </w:p>
        </w:tc>
        <w:tc>
          <w:tcPr>
            <w:tcW w:w="7513" w:type="dxa"/>
            <w:tcBorders>
              <w:top w:val="single" w:sz="4" w:space="0" w:color="auto"/>
              <w:left w:val="single" w:sz="4" w:space="0" w:color="auto"/>
              <w:bottom w:val="single" w:sz="4" w:space="0" w:color="auto"/>
              <w:right w:val="single" w:sz="4" w:space="0" w:color="auto"/>
            </w:tcBorders>
          </w:tcPr>
          <w:p w14:paraId="3ACCE10A" w14:textId="5469E34A" w:rsidR="007014CF" w:rsidRPr="0085695F" w:rsidRDefault="007014CF" w:rsidP="006D22E1">
            <w:pPr>
              <w:pStyle w:val="Stilstabulaa"/>
              <w:rPr>
                <w:bCs/>
                <w:sz w:val="24"/>
              </w:rPr>
            </w:pPr>
            <w:r w:rsidRPr="0085695F">
              <w:rPr>
                <w:bCs/>
                <w:sz w:val="24"/>
              </w:rPr>
              <w:t xml:space="preserve">Konsultāciju dokumentā iekļautā ceļa karte </w:t>
            </w:r>
            <w:r w:rsidRPr="0085695F">
              <w:rPr>
                <w:rFonts w:eastAsiaTheme="minorHAnsi"/>
                <w:bCs/>
                <w:color w:val="000000"/>
                <w:sz w:val="24"/>
              </w:rPr>
              <w:t>3600 MHz diapazona pārkārtošanai</w:t>
            </w:r>
            <w:r w:rsidRPr="0085695F">
              <w:rPr>
                <w:bCs/>
                <w:sz w:val="24"/>
              </w:rPr>
              <w:t xml:space="preserve"> apstiprināma ziņojuma veidā bez izmaiņām </w:t>
            </w:r>
            <w:r w:rsidR="003B64EE" w:rsidRPr="0085695F">
              <w:rPr>
                <w:bCs/>
                <w:sz w:val="24"/>
              </w:rPr>
              <w:t>pārkārtošan</w:t>
            </w:r>
            <w:r w:rsidR="0085695F">
              <w:rPr>
                <w:bCs/>
                <w:sz w:val="24"/>
              </w:rPr>
              <w:t>a</w:t>
            </w:r>
            <w:r w:rsidR="003B64EE" w:rsidRPr="0085695F">
              <w:rPr>
                <w:bCs/>
                <w:sz w:val="24"/>
              </w:rPr>
              <w:t xml:space="preserve">s procesā </w:t>
            </w:r>
            <w:r w:rsidRPr="0085695F">
              <w:rPr>
                <w:bCs/>
                <w:sz w:val="24"/>
              </w:rPr>
              <w:t>pēc būtības.</w:t>
            </w:r>
          </w:p>
          <w:p w14:paraId="39FBB295" w14:textId="77777777" w:rsidR="0000449B" w:rsidRPr="0085695F" w:rsidRDefault="0000449B" w:rsidP="006D22E1">
            <w:pPr>
              <w:pStyle w:val="Stilstabulaa"/>
              <w:rPr>
                <w:sz w:val="24"/>
              </w:rPr>
            </w:pPr>
          </w:p>
          <w:p w14:paraId="702E5D61" w14:textId="3E14591B" w:rsidR="007014CF" w:rsidRPr="0085695F" w:rsidRDefault="007014CF" w:rsidP="006D22E1">
            <w:pPr>
              <w:pStyle w:val="Stilstabulaa"/>
              <w:rPr>
                <w:bCs/>
                <w:sz w:val="24"/>
              </w:rPr>
            </w:pPr>
            <w:r w:rsidRPr="0085695F">
              <w:rPr>
                <w:sz w:val="24"/>
              </w:rPr>
              <w:t xml:space="preserve">Proti, ņemot vērā, ka sniegts atbalsts Regulatora piedāvātajam risinājumam par </w:t>
            </w:r>
            <w:r w:rsidRPr="0085695F">
              <w:rPr>
                <w:rFonts w:eastAsiaTheme="minorHAnsi"/>
                <w:bCs/>
                <w:color w:val="000000"/>
                <w:sz w:val="24"/>
              </w:rPr>
              <w:t>3600 MHz diapazona pārkārtošanas gaitu un kārtību,</w:t>
            </w:r>
            <w:r w:rsidRPr="0085695F">
              <w:rPr>
                <w:sz w:val="24"/>
              </w:rPr>
              <w:t xml:space="preserve"> Regulators minēt</w:t>
            </w:r>
            <w:r w:rsidR="0085695F">
              <w:rPr>
                <w:sz w:val="24"/>
              </w:rPr>
              <w:t>o</w:t>
            </w:r>
            <w:r w:rsidRPr="0085695F">
              <w:rPr>
                <w:sz w:val="24"/>
              </w:rPr>
              <w:t xml:space="preserve"> diapazon</w:t>
            </w:r>
            <w:r w:rsidR="0085695F">
              <w:rPr>
                <w:sz w:val="24"/>
              </w:rPr>
              <w:t>u</w:t>
            </w:r>
            <w:r w:rsidRPr="0085695F">
              <w:rPr>
                <w:sz w:val="24"/>
              </w:rPr>
              <w:t xml:space="preserve"> pārkārto</w:t>
            </w:r>
            <w:r w:rsidR="0085695F">
              <w:rPr>
                <w:sz w:val="24"/>
              </w:rPr>
              <w:t>s</w:t>
            </w:r>
            <w:r w:rsidRPr="0085695F">
              <w:rPr>
                <w:sz w:val="24"/>
              </w:rPr>
              <w:t xml:space="preserve"> saskaņā ar apstiprināto ziņojumu – ceļa karti un tajā iekļautajiem apsvērumiem.</w:t>
            </w:r>
          </w:p>
        </w:tc>
      </w:tr>
      <w:tr w:rsidR="007014CF" w:rsidRPr="0085695F" w14:paraId="2CCDC1FF" w14:textId="77777777" w:rsidTr="0000449B">
        <w:trPr>
          <w:trHeight w:val="4805"/>
        </w:trPr>
        <w:tc>
          <w:tcPr>
            <w:tcW w:w="898" w:type="dxa"/>
            <w:tcBorders>
              <w:top w:val="single" w:sz="4" w:space="0" w:color="auto"/>
              <w:left w:val="single" w:sz="4" w:space="0" w:color="auto"/>
              <w:bottom w:val="single" w:sz="4" w:space="0" w:color="auto"/>
              <w:right w:val="single" w:sz="4" w:space="0" w:color="auto"/>
            </w:tcBorders>
          </w:tcPr>
          <w:p w14:paraId="00655865" w14:textId="5DD96B38" w:rsidR="007014CF" w:rsidRPr="0085695F" w:rsidRDefault="007014CF" w:rsidP="006D22E1">
            <w:pPr>
              <w:pStyle w:val="Stilstabulaa"/>
              <w:rPr>
                <w:sz w:val="24"/>
              </w:rPr>
            </w:pPr>
            <w:r w:rsidRPr="0085695F">
              <w:rPr>
                <w:sz w:val="24"/>
              </w:rPr>
              <w:lastRenderedPageBreak/>
              <w:t>5.</w:t>
            </w:r>
          </w:p>
        </w:tc>
        <w:tc>
          <w:tcPr>
            <w:tcW w:w="3502" w:type="dxa"/>
            <w:tcBorders>
              <w:top w:val="single" w:sz="4" w:space="0" w:color="auto"/>
              <w:left w:val="single" w:sz="4" w:space="0" w:color="auto"/>
              <w:bottom w:val="single" w:sz="4" w:space="0" w:color="auto"/>
              <w:right w:val="single" w:sz="4" w:space="0" w:color="auto"/>
            </w:tcBorders>
          </w:tcPr>
          <w:p w14:paraId="4AFCD85B" w14:textId="7305E70A" w:rsidR="007014CF" w:rsidRPr="0085695F" w:rsidRDefault="007014CF" w:rsidP="00635241">
            <w:pPr>
              <w:pStyle w:val="naisf"/>
              <w:spacing w:before="0" w:after="0"/>
              <w:ind w:firstLine="0"/>
            </w:pPr>
            <w:r w:rsidRPr="0085695F">
              <w:t xml:space="preserve">Citu viedokli un informāciju, kas ieinteresēto personu ieskatā ir būtiska un Regulatoram būtu jāņem vērā pirms veikt tālākas darbības 3600 MHz diapazonā piešķirto </w:t>
            </w:r>
            <w:r w:rsidRPr="0085695F">
              <w:rPr>
                <w:rFonts w:cs="Tahoma"/>
              </w:rPr>
              <w:t xml:space="preserve">ierobežotu radiofrekvenču joslu </w:t>
            </w:r>
            <w:r w:rsidRPr="0085695F">
              <w:t>lietošanas tiesību pārkārtošanai</w:t>
            </w:r>
          </w:p>
        </w:tc>
        <w:tc>
          <w:tcPr>
            <w:tcW w:w="3817" w:type="dxa"/>
            <w:tcBorders>
              <w:top w:val="single" w:sz="4" w:space="0" w:color="auto"/>
              <w:left w:val="single" w:sz="4" w:space="0" w:color="auto"/>
              <w:bottom w:val="single" w:sz="4" w:space="0" w:color="auto"/>
              <w:right w:val="single" w:sz="4" w:space="0" w:color="auto"/>
            </w:tcBorders>
          </w:tcPr>
          <w:p w14:paraId="2258BFA5" w14:textId="7611EA3E" w:rsidR="007014CF" w:rsidRPr="0085695F" w:rsidRDefault="003B64EE" w:rsidP="006D22E1">
            <w:pPr>
              <w:pStyle w:val="Stilstabulaa"/>
              <w:rPr>
                <w:b/>
                <w:bCs/>
                <w:sz w:val="24"/>
              </w:rPr>
            </w:pPr>
            <w:r w:rsidRPr="0085695F">
              <w:rPr>
                <w:b/>
                <w:bCs/>
                <w:sz w:val="24"/>
              </w:rPr>
              <w:t>Sabiedrība ar ierobežotu atbildību “Tele2”</w:t>
            </w:r>
          </w:p>
          <w:p w14:paraId="749209E4" w14:textId="77777777" w:rsidR="003B64EE" w:rsidRPr="0085695F" w:rsidRDefault="003B64EE" w:rsidP="006D22E1">
            <w:pPr>
              <w:pStyle w:val="Stilstabulaa"/>
              <w:rPr>
                <w:b/>
                <w:bCs/>
                <w:sz w:val="24"/>
              </w:rPr>
            </w:pPr>
          </w:p>
          <w:p w14:paraId="2D018F3F" w14:textId="32CF7214" w:rsidR="003B64EE" w:rsidRPr="0085695F" w:rsidRDefault="003B64EE" w:rsidP="006D22E1">
            <w:pPr>
              <w:pStyle w:val="Stilstabulaa"/>
              <w:rPr>
                <w:sz w:val="24"/>
              </w:rPr>
            </w:pPr>
            <w:r w:rsidRPr="0085695F">
              <w:rPr>
                <w:sz w:val="24"/>
              </w:rPr>
              <w:t>Tele2 nav papildu informācijas vai apsvērumu, kas būtu jāņem vērā pirms tālāko darbību veikšanas. Tele2 aicina Regulatoru uzsākt 3600 MHz diapazonā piešķirto ierobežotu radiofrekvenču joslu lietošanas tiesību pārkārtošanas procesu atbilstoši Ceļa kartē noteiktajam laika grafikam.</w:t>
            </w:r>
          </w:p>
          <w:p w14:paraId="1B16A7E8" w14:textId="77777777" w:rsidR="003B64EE" w:rsidRPr="0085695F" w:rsidRDefault="003B64EE" w:rsidP="006D22E1">
            <w:pPr>
              <w:pStyle w:val="Stilstabulaa"/>
              <w:rPr>
                <w:sz w:val="24"/>
              </w:rPr>
            </w:pPr>
          </w:p>
          <w:p w14:paraId="3430DE57" w14:textId="5077E353" w:rsidR="007014CF" w:rsidRPr="0085695F" w:rsidRDefault="007014CF" w:rsidP="006D22E1">
            <w:pPr>
              <w:pStyle w:val="Stilstabulaa"/>
              <w:rPr>
                <w:b/>
                <w:bCs/>
                <w:sz w:val="24"/>
              </w:rPr>
            </w:pPr>
            <w:r w:rsidRPr="0085695F">
              <w:rPr>
                <w:b/>
                <w:bCs/>
                <w:sz w:val="24"/>
              </w:rPr>
              <w:t>“Latvijas Mobilais telefons” SIA</w:t>
            </w:r>
          </w:p>
          <w:p w14:paraId="72E22A61" w14:textId="3DF8BF00" w:rsidR="007014CF" w:rsidRPr="0085695F" w:rsidRDefault="007014CF" w:rsidP="006D22E1">
            <w:pPr>
              <w:overflowPunct w:val="0"/>
              <w:autoSpaceDE w:val="0"/>
              <w:autoSpaceDN w:val="0"/>
              <w:adjustRightInd w:val="0"/>
              <w:spacing w:before="120"/>
              <w:jc w:val="both"/>
              <w:textAlignment w:val="baseline"/>
            </w:pPr>
            <w:r w:rsidRPr="0085695F">
              <w:rPr>
                <w:u w:val="single"/>
              </w:rPr>
              <w:t>Piekrīt un atbalsta</w:t>
            </w:r>
            <w:r w:rsidRPr="0085695F">
              <w:t xml:space="preserve"> 3.5GHz Ceļa kartē iekļauto:</w:t>
            </w:r>
          </w:p>
          <w:p w14:paraId="086949FF" w14:textId="6F217DC0" w:rsidR="007014CF" w:rsidRPr="0085695F" w:rsidRDefault="007014CF" w:rsidP="006D22E1">
            <w:pPr>
              <w:pStyle w:val="Sarakstarindkopa"/>
              <w:numPr>
                <w:ilvl w:val="0"/>
                <w:numId w:val="14"/>
              </w:numPr>
              <w:overflowPunct w:val="0"/>
              <w:autoSpaceDE w:val="0"/>
              <w:autoSpaceDN w:val="0"/>
              <w:adjustRightInd w:val="0"/>
              <w:spacing w:before="120"/>
              <w:contextualSpacing w:val="0"/>
              <w:jc w:val="both"/>
              <w:textAlignment w:val="baseline"/>
            </w:pPr>
            <w:r w:rsidRPr="0085695F">
              <w:t>starptautiskās pieredzes un sabiedrības interešu izvērtējumu, no kā izriet, ka visefektīvākais risinājums 3.5GHz spektra pārkārtošanai ir trīs vienlaidus 130MHz radiofrekvenču spektra lietošanas tiesību piešķiršana esošajiem mobilo sakaru operatoriem (4.lpp.)</w:t>
            </w:r>
          </w:p>
          <w:p w14:paraId="4A486E23" w14:textId="77777777" w:rsidR="007014CF" w:rsidRPr="0085695F" w:rsidRDefault="007014CF" w:rsidP="006D22E1">
            <w:pPr>
              <w:pStyle w:val="Sarakstarindkopa"/>
              <w:numPr>
                <w:ilvl w:val="0"/>
                <w:numId w:val="14"/>
              </w:numPr>
              <w:overflowPunct w:val="0"/>
              <w:autoSpaceDE w:val="0"/>
              <w:autoSpaceDN w:val="0"/>
              <w:adjustRightInd w:val="0"/>
              <w:spacing w:before="120"/>
              <w:contextualSpacing w:val="0"/>
              <w:jc w:val="both"/>
              <w:textAlignment w:val="baseline"/>
            </w:pPr>
            <w:r w:rsidRPr="0085695F">
              <w:t xml:space="preserve">spektra piešķīrumu izvērtējumu no konkurences tiesību viedokļa, kas ir vērsts uz līdzvērtīgu konkurences apstākļu nodrošināšanu, līdzsvarojot katra operatora </w:t>
            </w:r>
            <w:r w:rsidRPr="0085695F">
              <w:lastRenderedPageBreak/>
              <w:t>rīcībā esošo vienlaidus radiofrekvenču spektra apjomu (7.lpp.).</w:t>
            </w:r>
          </w:p>
          <w:p w14:paraId="57B61EE3" w14:textId="77777777" w:rsidR="007014CF" w:rsidRPr="0085695F" w:rsidRDefault="007014CF" w:rsidP="006D22E1">
            <w:pPr>
              <w:pStyle w:val="Sarakstarindkopa"/>
              <w:numPr>
                <w:ilvl w:val="0"/>
                <w:numId w:val="14"/>
              </w:numPr>
              <w:overflowPunct w:val="0"/>
              <w:autoSpaceDE w:val="0"/>
              <w:autoSpaceDN w:val="0"/>
              <w:adjustRightInd w:val="0"/>
              <w:spacing w:before="120"/>
              <w:contextualSpacing w:val="0"/>
              <w:jc w:val="both"/>
              <w:textAlignment w:val="baseline"/>
              <w:rPr>
                <w:rFonts w:ascii="Segoe UI" w:hAnsi="Segoe UI" w:cs="Segoe UI"/>
                <w:sz w:val="21"/>
                <w:szCs w:val="21"/>
              </w:rPr>
            </w:pPr>
            <w:r w:rsidRPr="0085695F">
              <w:t>galalietotāju interešu izvērtējumu, kas apliecina, ka 3.5 GHz spektra pārkārtošana vienlaidus blokos rada priekšnoteikumus augstākai pakalpojumu kvalitātei, tostarp lielākiem datu pārraides ātrumiem un stabilākam savienojumam (7. lpp.).</w:t>
            </w:r>
          </w:p>
          <w:p w14:paraId="3E20C094" w14:textId="77777777" w:rsidR="007014CF" w:rsidRPr="0085695F" w:rsidRDefault="007014CF" w:rsidP="006D22E1">
            <w:pPr>
              <w:pStyle w:val="Sarakstarindkopa"/>
              <w:numPr>
                <w:ilvl w:val="0"/>
                <w:numId w:val="14"/>
              </w:numPr>
              <w:overflowPunct w:val="0"/>
              <w:autoSpaceDE w:val="0"/>
              <w:autoSpaceDN w:val="0"/>
              <w:adjustRightInd w:val="0"/>
              <w:spacing w:before="120"/>
              <w:contextualSpacing w:val="0"/>
              <w:jc w:val="both"/>
              <w:textAlignment w:val="baseline"/>
            </w:pPr>
            <w:r w:rsidRPr="0085695F">
              <w:t>esošo spektra lietošanas tiesību pagarināšanas nepieciešamību uz 15 gadiem, vienlaikus tās pārkārtojot uz vienlaidus 130 MHz blokiem, veicot nepieciešamos grozījumus normatīvajā regulējumā (Ceļa kartes 1.3.- 1.4.punkts).</w:t>
            </w:r>
          </w:p>
          <w:p w14:paraId="0988C493" w14:textId="13AA2CA6" w:rsidR="007014CF" w:rsidRPr="0085695F" w:rsidRDefault="007014CF" w:rsidP="006D22E1">
            <w:pPr>
              <w:pStyle w:val="Sarakstarindkopa"/>
              <w:numPr>
                <w:ilvl w:val="0"/>
                <w:numId w:val="14"/>
              </w:numPr>
              <w:overflowPunct w:val="0"/>
              <w:autoSpaceDE w:val="0"/>
              <w:autoSpaceDN w:val="0"/>
              <w:adjustRightInd w:val="0"/>
              <w:spacing w:before="120"/>
              <w:contextualSpacing w:val="0"/>
              <w:jc w:val="both"/>
              <w:textAlignment w:val="baseline"/>
            </w:pPr>
            <w:r w:rsidRPr="0085695F">
              <w:t>Konkursa darbības provizoriskos nosacījumus - konkursa priekšmetu skaits, joslas sākumcenas apjoms (Ceļa kartes 1.5.punkts).</w:t>
            </w:r>
          </w:p>
          <w:p w14:paraId="5EE9EC41" w14:textId="4150C4E8" w:rsidR="007014CF" w:rsidRPr="0085695F" w:rsidRDefault="007014CF" w:rsidP="006D22E1">
            <w:pPr>
              <w:pStyle w:val="Sarakstarindkopa"/>
              <w:numPr>
                <w:ilvl w:val="0"/>
                <w:numId w:val="14"/>
              </w:numPr>
              <w:overflowPunct w:val="0"/>
              <w:autoSpaceDE w:val="0"/>
              <w:autoSpaceDN w:val="0"/>
              <w:adjustRightInd w:val="0"/>
              <w:spacing w:before="120"/>
              <w:contextualSpacing w:val="0"/>
              <w:jc w:val="both"/>
              <w:textAlignment w:val="baseline"/>
            </w:pPr>
            <w:r w:rsidRPr="0085695F">
              <w:t xml:space="preserve">pieeju, ka Regulators pieņem vienotu gala lēmumu par katram operatoram piešķiramo 130 MHz spektra bloku, vienlaikus lemjot par </w:t>
            </w:r>
            <w:r w:rsidRPr="0085695F">
              <w:lastRenderedPageBreak/>
              <w:t>papildu spektra piešķiršanu, esošo lietošanas tiesību pagarināšanu un to konsolidāciju vienlaidus radiofrekvenču spektra blokos (Ceļa kartes 1.6.</w:t>
            </w:r>
            <w:r w:rsidR="0000449B" w:rsidRPr="0085695F">
              <w:t> </w:t>
            </w:r>
            <w:r w:rsidRPr="0085695F">
              <w:t xml:space="preserve">punkts). </w:t>
            </w:r>
          </w:p>
          <w:p w14:paraId="2FE4246F" w14:textId="77777777" w:rsidR="0000449B" w:rsidRPr="0085695F" w:rsidRDefault="0000449B" w:rsidP="003B64EE">
            <w:pPr>
              <w:pStyle w:val="Stilstabulaa"/>
              <w:rPr>
                <w:sz w:val="24"/>
              </w:rPr>
            </w:pPr>
            <w:bookmarkStart w:id="3" w:name="_Hlk234230394"/>
          </w:p>
          <w:p w14:paraId="610507B4" w14:textId="31AF5F34" w:rsidR="007014CF" w:rsidRPr="0085695F" w:rsidRDefault="007014CF" w:rsidP="003B64EE">
            <w:pPr>
              <w:pStyle w:val="Stilstabulaa"/>
              <w:rPr>
                <w:b/>
                <w:bCs/>
                <w:sz w:val="24"/>
              </w:rPr>
            </w:pPr>
            <w:r w:rsidRPr="0085695F">
              <w:rPr>
                <w:sz w:val="24"/>
              </w:rPr>
              <w:t>Vienlaikus norāda, ka ir būtiski, lai Ceļa kartē ietvertie principi un risinājumi netiktu  mainīti turpmākajos regulatīvajos dokumentos bez atbilstošas konsultācijas un vienošanās ar nozari</w:t>
            </w:r>
            <w:bookmarkEnd w:id="3"/>
            <w:r w:rsidRPr="0085695F">
              <w:rPr>
                <w:sz w:val="24"/>
              </w:rPr>
              <w:t xml:space="preserve">. Tas ir </w:t>
            </w:r>
            <w:bookmarkStart w:id="4" w:name="_Hlk234230414"/>
            <w:r w:rsidRPr="0085695F">
              <w:rPr>
                <w:sz w:val="24"/>
              </w:rPr>
              <w:t>priekšnoteikums tiesiskajai noteiktībai, samērīgai pārejai uz jaunajiem spektra blokiem, pakalpojumu nepārtrauktībai un ilgtermiņa investīciju stabilitātei nozarē</w:t>
            </w:r>
            <w:bookmarkEnd w:id="4"/>
            <w:r w:rsidRPr="0085695F">
              <w:rPr>
                <w:sz w:val="24"/>
              </w:rPr>
              <w:t>.</w:t>
            </w:r>
          </w:p>
        </w:tc>
        <w:tc>
          <w:tcPr>
            <w:tcW w:w="7513" w:type="dxa"/>
            <w:tcBorders>
              <w:top w:val="single" w:sz="4" w:space="0" w:color="auto"/>
              <w:left w:val="single" w:sz="4" w:space="0" w:color="auto"/>
              <w:bottom w:val="single" w:sz="4" w:space="0" w:color="auto"/>
              <w:right w:val="single" w:sz="4" w:space="0" w:color="auto"/>
            </w:tcBorders>
          </w:tcPr>
          <w:p w14:paraId="75765774" w14:textId="2DAB3B2C" w:rsidR="007014CF" w:rsidRPr="0085695F" w:rsidRDefault="007014CF" w:rsidP="006D22E1">
            <w:pPr>
              <w:pStyle w:val="Stilstabulaa"/>
              <w:rPr>
                <w:bCs/>
                <w:sz w:val="24"/>
              </w:rPr>
            </w:pPr>
            <w:r w:rsidRPr="0085695F">
              <w:rPr>
                <w:bCs/>
                <w:sz w:val="24"/>
              </w:rPr>
              <w:lastRenderedPageBreak/>
              <w:t xml:space="preserve">Konsultāciju dokumentā iekļautā ceļa karte </w:t>
            </w:r>
            <w:r w:rsidRPr="0085695F">
              <w:rPr>
                <w:rFonts w:eastAsiaTheme="minorHAnsi"/>
                <w:bCs/>
                <w:color w:val="000000"/>
                <w:sz w:val="24"/>
              </w:rPr>
              <w:t>3600 MHz diapazona pārkārtošanai</w:t>
            </w:r>
            <w:r w:rsidRPr="0085695F">
              <w:rPr>
                <w:bCs/>
                <w:sz w:val="24"/>
              </w:rPr>
              <w:t xml:space="preserve"> apstiprināma ziņojuma veidā bez izmaiņām</w:t>
            </w:r>
            <w:r w:rsidR="003B64EE" w:rsidRPr="0085695F">
              <w:rPr>
                <w:bCs/>
                <w:sz w:val="24"/>
              </w:rPr>
              <w:t xml:space="preserve"> pārkārtošan</w:t>
            </w:r>
            <w:r w:rsidR="0085695F">
              <w:rPr>
                <w:bCs/>
                <w:sz w:val="24"/>
              </w:rPr>
              <w:t>a</w:t>
            </w:r>
            <w:r w:rsidR="003B64EE" w:rsidRPr="0085695F">
              <w:rPr>
                <w:bCs/>
                <w:sz w:val="24"/>
              </w:rPr>
              <w:t>s procesā</w:t>
            </w:r>
            <w:r w:rsidRPr="0085695F">
              <w:rPr>
                <w:bCs/>
                <w:sz w:val="24"/>
              </w:rPr>
              <w:t xml:space="preserve"> pēc būtības.</w:t>
            </w:r>
          </w:p>
          <w:p w14:paraId="56655A21" w14:textId="77777777" w:rsidR="0000449B" w:rsidRPr="0085695F" w:rsidRDefault="0000449B" w:rsidP="006D22E1">
            <w:pPr>
              <w:pStyle w:val="Stilstabulaa"/>
              <w:rPr>
                <w:sz w:val="24"/>
              </w:rPr>
            </w:pPr>
          </w:p>
          <w:p w14:paraId="19057B28" w14:textId="363F4243" w:rsidR="007014CF" w:rsidRPr="0085695F" w:rsidRDefault="007014CF" w:rsidP="006D22E1">
            <w:pPr>
              <w:pStyle w:val="Stilstabulaa"/>
              <w:rPr>
                <w:bCs/>
                <w:sz w:val="24"/>
              </w:rPr>
            </w:pPr>
            <w:r w:rsidRPr="0085695F">
              <w:rPr>
                <w:sz w:val="24"/>
              </w:rPr>
              <w:t xml:space="preserve">Proti, ņemot vērā, ka sniegts atbalsts Regulatora piedāvātajam risinājumam par </w:t>
            </w:r>
            <w:r w:rsidRPr="0085695F">
              <w:rPr>
                <w:rFonts w:eastAsiaTheme="minorHAnsi"/>
                <w:bCs/>
                <w:color w:val="000000"/>
                <w:sz w:val="24"/>
              </w:rPr>
              <w:t>3600 MHz diapazona pārkārtošanas gaitu un kārtību,</w:t>
            </w:r>
            <w:r w:rsidRPr="0085695F">
              <w:rPr>
                <w:sz w:val="24"/>
              </w:rPr>
              <w:t xml:space="preserve"> Regulators minēt</w:t>
            </w:r>
            <w:r w:rsidR="0085695F">
              <w:rPr>
                <w:sz w:val="24"/>
              </w:rPr>
              <w:t>o</w:t>
            </w:r>
            <w:r w:rsidRPr="0085695F">
              <w:rPr>
                <w:sz w:val="24"/>
              </w:rPr>
              <w:t xml:space="preserve"> diapazon</w:t>
            </w:r>
            <w:r w:rsidR="0085695F">
              <w:rPr>
                <w:sz w:val="24"/>
              </w:rPr>
              <w:t>u</w:t>
            </w:r>
            <w:r w:rsidRPr="0085695F">
              <w:rPr>
                <w:sz w:val="24"/>
              </w:rPr>
              <w:t xml:space="preserve"> pārkārto</w:t>
            </w:r>
            <w:r w:rsidR="0085695F">
              <w:rPr>
                <w:sz w:val="24"/>
              </w:rPr>
              <w:t>s</w:t>
            </w:r>
            <w:r w:rsidRPr="0085695F">
              <w:rPr>
                <w:sz w:val="24"/>
              </w:rPr>
              <w:t xml:space="preserve"> saskaņā ar apstiprināto ziņojumu – ceļa karti un tajā iekļautajiem apsvērumiem.</w:t>
            </w:r>
          </w:p>
        </w:tc>
      </w:tr>
    </w:tbl>
    <w:p w14:paraId="045390E2" w14:textId="77777777" w:rsidR="00496286" w:rsidRPr="0085695F" w:rsidRDefault="00496286" w:rsidP="00CA660B">
      <w:pPr>
        <w:widowControl w:val="0"/>
        <w:rPr>
          <w:sz w:val="22"/>
        </w:rPr>
      </w:pPr>
    </w:p>
    <w:tbl>
      <w:tblPr>
        <w:tblW w:w="9067" w:type="dxa"/>
        <w:tblInd w:w="5" w:type="dxa"/>
        <w:tblCellMar>
          <w:left w:w="0" w:type="dxa"/>
          <w:right w:w="0" w:type="dxa"/>
        </w:tblCellMar>
        <w:tblLook w:val="04A0" w:firstRow="1" w:lastRow="0" w:firstColumn="1" w:lastColumn="0" w:noHBand="0" w:noVBand="1"/>
      </w:tblPr>
      <w:tblGrid>
        <w:gridCol w:w="4643"/>
        <w:gridCol w:w="4424"/>
      </w:tblGrid>
      <w:tr w:rsidR="00817114" w:rsidRPr="0085695F" w14:paraId="13C7D141" w14:textId="77777777" w:rsidTr="00181AF9">
        <w:trPr>
          <w:trHeight w:val="229"/>
        </w:trPr>
        <w:tc>
          <w:tcPr>
            <w:tcW w:w="4643" w:type="dxa"/>
          </w:tcPr>
          <w:p w14:paraId="49A68AB2" w14:textId="13039E36" w:rsidR="00817114" w:rsidRPr="0085695F" w:rsidRDefault="00817114" w:rsidP="00513FE9">
            <w:pPr>
              <w:rPr>
                <w:rFonts w:eastAsia="Calibri"/>
                <w:szCs w:val="22"/>
              </w:rPr>
            </w:pPr>
          </w:p>
        </w:tc>
        <w:tc>
          <w:tcPr>
            <w:tcW w:w="4424" w:type="dxa"/>
          </w:tcPr>
          <w:p w14:paraId="1523A6EF" w14:textId="31833E8E" w:rsidR="00817114" w:rsidRPr="0085695F" w:rsidRDefault="00817114" w:rsidP="00181AF9">
            <w:pPr>
              <w:rPr>
                <w:rFonts w:eastAsia="Calibri"/>
                <w:szCs w:val="22"/>
              </w:rPr>
            </w:pPr>
          </w:p>
        </w:tc>
      </w:tr>
      <w:tr w:rsidR="00817114" w:rsidRPr="0085695F" w14:paraId="61CEF37D" w14:textId="77777777" w:rsidTr="00513FE9">
        <w:trPr>
          <w:trHeight w:val="229"/>
        </w:trPr>
        <w:tc>
          <w:tcPr>
            <w:tcW w:w="4643" w:type="dxa"/>
          </w:tcPr>
          <w:p w14:paraId="4E61F6B7" w14:textId="33DDDDCE" w:rsidR="007014CF" w:rsidRPr="0085695F" w:rsidRDefault="007014CF" w:rsidP="007014CF">
            <w:pPr>
              <w:rPr>
                <w:sz w:val="20"/>
                <w:szCs w:val="20"/>
              </w:rPr>
            </w:pPr>
            <w:bookmarkStart w:id="5" w:name="_Hlk92268216"/>
            <w:r w:rsidRPr="0085695F">
              <w:rPr>
                <w:sz w:val="20"/>
                <w:szCs w:val="20"/>
              </w:rPr>
              <w:t xml:space="preserve"> </w:t>
            </w:r>
            <w:r w:rsidR="0085695F" w:rsidRPr="0085695F">
              <w:rPr>
                <w:sz w:val="20"/>
                <w:szCs w:val="20"/>
              </w:rPr>
              <w:t xml:space="preserve">Alnis </w:t>
            </w:r>
            <w:r w:rsidRPr="0085695F">
              <w:rPr>
                <w:sz w:val="20"/>
                <w:szCs w:val="20"/>
              </w:rPr>
              <w:t>Garkājis, 67097238</w:t>
            </w:r>
          </w:p>
          <w:p w14:paraId="1F42B1F5" w14:textId="77777777" w:rsidR="007014CF" w:rsidRPr="0085695F" w:rsidRDefault="007014CF" w:rsidP="007014CF">
            <w:pPr>
              <w:rPr>
                <w:sz w:val="20"/>
                <w:szCs w:val="20"/>
              </w:rPr>
            </w:pPr>
            <w:r w:rsidRPr="0085695F">
              <w:rPr>
                <w:sz w:val="20"/>
                <w:szCs w:val="20"/>
              </w:rPr>
              <w:t>alnis.garkajis@sprk.gov.lv</w:t>
            </w:r>
            <w:bookmarkEnd w:id="5"/>
          </w:p>
          <w:p w14:paraId="18AB1C58" w14:textId="5CB1D7EC" w:rsidR="00817114" w:rsidRPr="0085695F" w:rsidRDefault="00817114" w:rsidP="00513FE9">
            <w:pPr>
              <w:rPr>
                <w:rFonts w:eastAsia="Calibri"/>
                <w:szCs w:val="22"/>
              </w:rPr>
            </w:pPr>
          </w:p>
        </w:tc>
        <w:tc>
          <w:tcPr>
            <w:tcW w:w="4424" w:type="dxa"/>
          </w:tcPr>
          <w:p w14:paraId="776B1343" w14:textId="77777777" w:rsidR="00817114" w:rsidRPr="0085695F" w:rsidRDefault="00817114" w:rsidP="00513FE9">
            <w:pPr>
              <w:jc w:val="right"/>
              <w:rPr>
                <w:rFonts w:eastAsia="Calibri"/>
                <w:szCs w:val="22"/>
              </w:rPr>
            </w:pPr>
          </w:p>
        </w:tc>
      </w:tr>
    </w:tbl>
    <w:p w14:paraId="14E9D2D2" w14:textId="5F52D146" w:rsidR="004F2B57" w:rsidRPr="0085695F" w:rsidRDefault="004F2B57" w:rsidP="00181AF9">
      <w:pPr>
        <w:tabs>
          <w:tab w:val="left" w:pos="12474"/>
        </w:tabs>
        <w:jc w:val="both"/>
      </w:pPr>
    </w:p>
    <w:sectPr w:rsidR="004F2B57" w:rsidRPr="0085695F" w:rsidSect="00637360">
      <w:footerReference w:type="default" r:id="rId8"/>
      <w:headerReference w:type="first" r:id="rId9"/>
      <w:pgSz w:w="16838" w:h="11906" w:orient="landscape"/>
      <w:pgMar w:top="720" w:right="720" w:bottom="1843"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29FF" w14:textId="77777777" w:rsidR="004433F5" w:rsidRDefault="004433F5" w:rsidP="00200887">
      <w:r>
        <w:separator/>
      </w:r>
    </w:p>
  </w:endnote>
  <w:endnote w:type="continuationSeparator" w:id="0">
    <w:p w14:paraId="6F9EFFFA" w14:textId="77777777" w:rsidR="004433F5" w:rsidRDefault="004433F5" w:rsidP="0020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25746"/>
      <w:docPartObj>
        <w:docPartGallery w:val="Page Numbers (Bottom of Page)"/>
        <w:docPartUnique/>
      </w:docPartObj>
    </w:sdtPr>
    <w:sdtEndPr>
      <w:rPr>
        <w:sz w:val="22"/>
        <w:szCs w:val="22"/>
      </w:rPr>
    </w:sdtEndPr>
    <w:sdtContent>
      <w:p w14:paraId="0645B665" w14:textId="23B6FCF5" w:rsidR="003C0095" w:rsidRPr="00200887" w:rsidRDefault="003C0095">
        <w:pPr>
          <w:pStyle w:val="Kjene"/>
          <w:jc w:val="center"/>
          <w:rPr>
            <w:sz w:val="22"/>
            <w:szCs w:val="22"/>
          </w:rPr>
        </w:pPr>
        <w:r w:rsidRPr="00200887">
          <w:rPr>
            <w:sz w:val="22"/>
            <w:szCs w:val="22"/>
          </w:rPr>
          <w:fldChar w:fldCharType="begin"/>
        </w:r>
        <w:r w:rsidRPr="00200887">
          <w:rPr>
            <w:sz w:val="22"/>
            <w:szCs w:val="22"/>
          </w:rPr>
          <w:instrText>PAGE   \* MERGEFORMAT</w:instrText>
        </w:r>
        <w:r w:rsidRPr="00200887">
          <w:rPr>
            <w:sz w:val="22"/>
            <w:szCs w:val="22"/>
          </w:rPr>
          <w:fldChar w:fldCharType="separate"/>
        </w:r>
        <w:r w:rsidR="00C32A23" w:rsidRPr="00C32A23">
          <w:rPr>
            <w:noProof/>
            <w:szCs w:val="22"/>
          </w:rPr>
          <w:t>2</w:t>
        </w:r>
        <w:r w:rsidR="00C32A23" w:rsidRPr="00C32A23">
          <w:rPr>
            <w:noProof/>
            <w:szCs w:val="22"/>
          </w:rPr>
          <w:t>0</w:t>
        </w:r>
        <w:r w:rsidRPr="00200887">
          <w:rPr>
            <w:sz w:val="22"/>
            <w:szCs w:val="22"/>
          </w:rPr>
          <w:fldChar w:fldCharType="end"/>
        </w:r>
      </w:p>
    </w:sdtContent>
  </w:sdt>
  <w:p w14:paraId="3B72E568" w14:textId="77777777" w:rsidR="003C0095" w:rsidRPr="00200887" w:rsidRDefault="003C0095">
    <w:pPr>
      <w:pStyle w:val="Kjen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DE09" w14:textId="77777777" w:rsidR="004433F5" w:rsidRDefault="004433F5" w:rsidP="00200887">
      <w:r>
        <w:separator/>
      </w:r>
    </w:p>
  </w:footnote>
  <w:footnote w:type="continuationSeparator" w:id="0">
    <w:p w14:paraId="59CE7426" w14:textId="77777777" w:rsidR="004433F5" w:rsidRDefault="004433F5" w:rsidP="0020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1417" w14:textId="77777777" w:rsidR="004573CE" w:rsidRDefault="004573CE" w:rsidP="00637360">
    <w:pPr>
      <w:pStyle w:val="Galvene"/>
      <w:jc w:val="right"/>
    </w:pPr>
  </w:p>
  <w:p w14:paraId="0DBAFEF9" w14:textId="3D230204" w:rsidR="003C0095" w:rsidRDefault="003C0095" w:rsidP="00637360">
    <w:pPr>
      <w:pStyle w:val="Galvene"/>
      <w:jc w:val="right"/>
    </w:pPr>
    <w:r>
      <w:t>Izskatīts Sabiedrisko pakalpojumu regulēšanas komisijas</w:t>
    </w:r>
  </w:p>
  <w:p w14:paraId="59D4424A" w14:textId="06DF26C3" w:rsidR="003C0095" w:rsidRPr="00D424C7" w:rsidRDefault="002010B7" w:rsidP="00637360">
    <w:pPr>
      <w:pStyle w:val="Galvene"/>
      <w:jc w:val="right"/>
    </w:pPr>
    <w:r>
      <w:t>1</w:t>
    </w:r>
    <w:r w:rsidR="00A6764A">
      <w:t>6</w:t>
    </w:r>
    <w:r w:rsidR="007D2AB3" w:rsidRPr="00D424C7">
      <w:t>.0</w:t>
    </w:r>
    <w:r w:rsidR="00366152">
      <w:t>7</w:t>
    </w:r>
    <w:r w:rsidR="007D2AB3" w:rsidRPr="00D424C7">
      <w:t>.</w:t>
    </w:r>
    <w:r w:rsidR="003C0095" w:rsidRPr="00D424C7">
      <w:t>202</w:t>
    </w:r>
    <w:r w:rsidR="00D424C7" w:rsidRPr="00D424C7">
      <w:t>6</w:t>
    </w:r>
    <w:r w:rsidR="003C0095" w:rsidRPr="00D424C7">
      <w:t>. sēdē</w:t>
    </w:r>
  </w:p>
  <w:p w14:paraId="3EFFF4B0" w14:textId="198A92C2" w:rsidR="003C0095" w:rsidRDefault="003C0095" w:rsidP="00637360">
    <w:pPr>
      <w:pStyle w:val="Galvene"/>
      <w:jc w:val="right"/>
    </w:pPr>
    <w:r w:rsidRPr="00D424C7">
      <w:t>(prot.Nr.</w:t>
    </w:r>
    <w:r w:rsidR="000230EE">
      <w:t>25</w:t>
    </w:r>
    <w:r w:rsidRPr="00D424C7">
      <w:t xml:space="preserve">., </w:t>
    </w:r>
    <w:r w:rsidR="000230EE">
      <w:t>1</w:t>
    </w:r>
    <w:r w:rsidRPr="00D424C7">
      <w:t>.p</w:t>
    </w:r>
    <w:r>
      <w:t>)</w:t>
    </w:r>
  </w:p>
  <w:p w14:paraId="0765CAB7" w14:textId="77777777" w:rsidR="003C0095" w:rsidRDefault="003C0095" w:rsidP="00637360">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A83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40FD"/>
    <w:multiLevelType w:val="hybridMultilevel"/>
    <w:tmpl w:val="7BD2A0DE"/>
    <w:lvl w:ilvl="0" w:tplc="141E1C34">
      <w:start w:val="1"/>
      <w:numFmt w:val="decimal"/>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444F44"/>
    <w:multiLevelType w:val="multilevel"/>
    <w:tmpl w:val="0BE259E2"/>
    <w:lvl w:ilvl="0">
      <w:start w:val="1"/>
      <w:numFmt w:val="upperRoman"/>
      <w:lvlText w:val="%1."/>
      <w:lvlJc w:val="left"/>
      <w:pPr>
        <w:ind w:left="1800" w:hanging="720"/>
      </w:pPr>
      <w:rPr>
        <w:rFonts w:hint="default"/>
        <w:b/>
        <w:bCs/>
      </w:rPr>
    </w:lvl>
    <w:lvl w:ilvl="1">
      <w:start w:val="3"/>
      <w:numFmt w:val="decimal"/>
      <w:isLgl/>
      <w:lvlText w:val="%1.%2."/>
      <w:lvlJc w:val="left"/>
      <w:pPr>
        <w:ind w:left="168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B335BCA"/>
    <w:multiLevelType w:val="hybridMultilevel"/>
    <w:tmpl w:val="49140C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62139"/>
    <w:multiLevelType w:val="hybridMultilevel"/>
    <w:tmpl w:val="14344F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F077B2"/>
    <w:multiLevelType w:val="hybridMultilevel"/>
    <w:tmpl w:val="5F6E7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404E93"/>
    <w:multiLevelType w:val="hybridMultilevel"/>
    <w:tmpl w:val="8D965790"/>
    <w:lvl w:ilvl="0" w:tplc="37C60A10">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8C4F2C"/>
    <w:multiLevelType w:val="hybridMultilevel"/>
    <w:tmpl w:val="F5B81BBC"/>
    <w:lvl w:ilvl="0" w:tplc="6B1816F0">
      <w:start w:val="1"/>
      <w:numFmt w:val="upperRoman"/>
      <w:pStyle w:val="Peckartas"/>
      <w:lvlText w:val="%1."/>
      <w:lvlJc w:val="left"/>
      <w:pPr>
        <w:ind w:left="1080" w:hanging="72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3466F4"/>
    <w:multiLevelType w:val="hybridMultilevel"/>
    <w:tmpl w:val="AA2859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5009A0"/>
    <w:multiLevelType w:val="multilevel"/>
    <w:tmpl w:val="02F8244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9142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4F14BE"/>
    <w:multiLevelType w:val="hybridMultilevel"/>
    <w:tmpl w:val="9A2E52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AC1CF7"/>
    <w:multiLevelType w:val="hybridMultilevel"/>
    <w:tmpl w:val="123AA8D8"/>
    <w:lvl w:ilvl="0" w:tplc="EDF8FD18">
      <w:start w:val="1"/>
      <w:numFmt w:val="decimal"/>
      <w:lvlText w:val="%1."/>
      <w:lvlJc w:val="left"/>
      <w:pPr>
        <w:ind w:left="1050" w:hanging="6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3B2536"/>
    <w:multiLevelType w:val="hybridMultilevel"/>
    <w:tmpl w:val="E2BE3E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8A59A2"/>
    <w:multiLevelType w:val="hybridMultilevel"/>
    <w:tmpl w:val="D8FE4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36270853">
    <w:abstractNumId w:val="7"/>
  </w:num>
  <w:num w:numId="2" w16cid:durableId="1167090698">
    <w:abstractNumId w:val="8"/>
  </w:num>
  <w:num w:numId="3" w16cid:durableId="626160695">
    <w:abstractNumId w:val="5"/>
  </w:num>
  <w:num w:numId="4" w16cid:durableId="1428429897">
    <w:abstractNumId w:val="14"/>
  </w:num>
  <w:num w:numId="5" w16cid:durableId="451019426">
    <w:abstractNumId w:val="13"/>
  </w:num>
  <w:num w:numId="6" w16cid:durableId="969089155">
    <w:abstractNumId w:val="2"/>
  </w:num>
  <w:num w:numId="7" w16cid:durableId="819463708">
    <w:abstractNumId w:val="9"/>
  </w:num>
  <w:num w:numId="8" w16cid:durableId="378483548">
    <w:abstractNumId w:val="1"/>
  </w:num>
  <w:num w:numId="9" w16cid:durableId="25302874">
    <w:abstractNumId w:val="0"/>
  </w:num>
  <w:num w:numId="10" w16cid:durableId="450561188">
    <w:abstractNumId w:val="10"/>
  </w:num>
  <w:num w:numId="11" w16cid:durableId="385566941">
    <w:abstractNumId w:val="4"/>
  </w:num>
  <w:num w:numId="12" w16cid:durableId="1063138492">
    <w:abstractNumId w:val="11"/>
  </w:num>
  <w:num w:numId="13" w16cid:durableId="1875387890">
    <w:abstractNumId w:val="12"/>
  </w:num>
  <w:num w:numId="14" w16cid:durableId="1498689179">
    <w:abstractNumId w:val="6"/>
  </w:num>
  <w:num w:numId="15" w16cid:durableId="10110342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F3"/>
    <w:rsid w:val="00000461"/>
    <w:rsid w:val="00000C55"/>
    <w:rsid w:val="00002260"/>
    <w:rsid w:val="000022A9"/>
    <w:rsid w:val="0000281A"/>
    <w:rsid w:val="00003656"/>
    <w:rsid w:val="0000449B"/>
    <w:rsid w:val="000045A6"/>
    <w:rsid w:val="000067B2"/>
    <w:rsid w:val="0001423A"/>
    <w:rsid w:val="000223E2"/>
    <w:rsid w:val="000230EE"/>
    <w:rsid w:val="000271D0"/>
    <w:rsid w:val="00027474"/>
    <w:rsid w:val="00030D14"/>
    <w:rsid w:val="00033B4C"/>
    <w:rsid w:val="000345AE"/>
    <w:rsid w:val="00041606"/>
    <w:rsid w:val="00045DE1"/>
    <w:rsid w:val="0005018A"/>
    <w:rsid w:val="00050AD1"/>
    <w:rsid w:val="00051032"/>
    <w:rsid w:val="00052D6C"/>
    <w:rsid w:val="00053D17"/>
    <w:rsid w:val="00054992"/>
    <w:rsid w:val="00055755"/>
    <w:rsid w:val="000574BA"/>
    <w:rsid w:val="0006008D"/>
    <w:rsid w:val="00061F8F"/>
    <w:rsid w:val="0006299E"/>
    <w:rsid w:val="00063A66"/>
    <w:rsid w:val="00064B91"/>
    <w:rsid w:val="000660D7"/>
    <w:rsid w:val="00066E92"/>
    <w:rsid w:val="000701EE"/>
    <w:rsid w:val="00070401"/>
    <w:rsid w:val="00071C07"/>
    <w:rsid w:val="00072BAE"/>
    <w:rsid w:val="00075638"/>
    <w:rsid w:val="00075EB5"/>
    <w:rsid w:val="00076976"/>
    <w:rsid w:val="00076F61"/>
    <w:rsid w:val="000771AC"/>
    <w:rsid w:val="00077377"/>
    <w:rsid w:val="0008134B"/>
    <w:rsid w:val="00081364"/>
    <w:rsid w:val="00082A55"/>
    <w:rsid w:val="00092CAE"/>
    <w:rsid w:val="000964F7"/>
    <w:rsid w:val="00096568"/>
    <w:rsid w:val="0009705B"/>
    <w:rsid w:val="000A152A"/>
    <w:rsid w:val="000A40D5"/>
    <w:rsid w:val="000A59C4"/>
    <w:rsid w:val="000A68CE"/>
    <w:rsid w:val="000A6B28"/>
    <w:rsid w:val="000B0595"/>
    <w:rsid w:val="000B0B92"/>
    <w:rsid w:val="000B184E"/>
    <w:rsid w:val="000B25C1"/>
    <w:rsid w:val="000B295D"/>
    <w:rsid w:val="000B641C"/>
    <w:rsid w:val="000B65FE"/>
    <w:rsid w:val="000C0ECF"/>
    <w:rsid w:val="000C16A8"/>
    <w:rsid w:val="000C1983"/>
    <w:rsid w:val="000C21C5"/>
    <w:rsid w:val="000C627F"/>
    <w:rsid w:val="000D22C7"/>
    <w:rsid w:val="000D3442"/>
    <w:rsid w:val="000D66F1"/>
    <w:rsid w:val="000D69C8"/>
    <w:rsid w:val="000E0528"/>
    <w:rsid w:val="000E2ED4"/>
    <w:rsid w:val="000E46CA"/>
    <w:rsid w:val="000E6550"/>
    <w:rsid w:val="000E663D"/>
    <w:rsid w:val="000E7019"/>
    <w:rsid w:val="000E70E9"/>
    <w:rsid w:val="000E7AB7"/>
    <w:rsid w:val="000E7C2B"/>
    <w:rsid w:val="000F25AA"/>
    <w:rsid w:val="000F6500"/>
    <w:rsid w:val="000F6B33"/>
    <w:rsid w:val="000F6CE8"/>
    <w:rsid w:val="0010233F"/>
    <w:rsid w:val="00102A48"/>
    <w:rsid w:val="00105397"/>
    <w:rsid w:val="0010709A"/>
    <w:rsid w:val="00107444"/>
    <w:rsid w:val="0011086E"/>
    <w:rsid w:val="00110E3F"/>
    <w:rsid w:val="00111EC2"/>
    <w:rsid w:val="001120B7"/>
    <w:rsid w:val="0011370B"/>
    <w:rsid w:val="00113770"/>
    <w:rsid w:val="00113EC7"/>
    <w:rsid w:val="00114852"/>
    <w:rsid w:val="00114D60"/>
    <w:rsid w:val="001150F0"/>
    <w:rsid w:val="00116673"/>
    <w:rsid w:val="00120243"/>
    <w:rsid w:val="00120B66"/>
    <w:rsid w:val="00120E62"/>
    <w:rsid w:val="00121463"/>
    <w:rsid w:val="001216AC"/>
    <w:rsid w:val="001218D4"/>
    <w:rsid w:val="001228F4"/>
    <w:rsid w:val="00122E4D"/>
    <w:rsid w:val="00122FB6"/>
    <w:rsid w:val="00123DDF"/>
    <w:rsid w:val="00125600"/>
    <w:rsid w:val="00125E9D"/>
    <w:rsid w:val="00126798"/>
    <w:rsid w:val="00126ED2"/>
    <w:rsid w:val="001320C1"/>
    <w:rsid w:val="001323A2"/>
    <w:rsid w:val="0013498F"/>
    <w:rsid w:val="00134E7B"/>
    <w:rsid w:val="0013683A"/>
    <w:rsid w:val="001368DA"/>
    <w:rsid w:val="00144A44"/>
    <w:rsid w:val="001461B6"/>
    <w:rsid w:val="00147C9C"/>
    <w:rsid w:val="001529C4"/>
    <w:rsid w:val="00153250"/>
    <w:rsid w:val="00154D28"/>
    <w:rsid w:val="00155257"/>
    <w:rsid w:val="00155568"/>
    <w:rsid w:val="00155768"/>
    <w:rsid w:val="00155F05"/>
    <w:rsid w:val="00156277"/>
    <w:rsid w:val="00157A52"/>
    <w:rsid w:val="00160602"/>
    <w:rsid w:val="001618C5"/>
    <w:rsid w:val="00161FBF"/>
    <w:rsid w:val="00163131"/>
    <w:rsid w:val="0016363D"/>
    <w:rsid w:val="001655FF"/>
    <w:rsid w:val="001663B0"/>
    <w:rsid w:val="00166839"/>
    <w:rsid w:val="00167224"/>
    <w:rsid w:val="00171BB3"/>
    <w:rsid w:val="001738B9"/>
    <w:rsid w:val="00174E5A"/>
    <w:rsid w:val="001752C7"/>
    <w:rsid w:val="00177610"/>
    <w:rsid w:val="001804D5"/>
    <w:rsid w:val="0018099E"/>
    <w:rsid w:val="00181AF9"/>
    <w:rsid w:val="00182CF8"/>
    <w:rsid w:val="00184685"/>
    <w:rsid w:val="001852D4"/>
    <w:rsid w:val="00185BB7"/>
    <w:rsid w:val="0018658A"/>
    <w:rsid w:val="0018722E"/>
    <w:rsid w:val="00187349"/>
    <w:rsid w:val="00187F65"/>
    <w:rsid w:val="0019043A"/>
    <w:rsid w:val="001906F1"/>
    <w:rsid w:val="00190BE0"/>
    <w:rsid w:val="00192A81"/>
    <w:rsid w:val="00192E59"/>
    <w:rsid w:val="001932B7"/>
    <w:rsid w:val="00197008"/>
    <w:rsid w:val="00197C81"/>
    <w:rsid w:val="001A07A0"/>
    <w:rsid w:val="001A19AB"/>
    <w:rsid w:val="001A41BE"/>
    <w:rsid w:val="001A4758"/>
    <w:rsid w:val="001A5B47"/>
    <w:rsid w:val="001A665D"/>
    <w:rsid w:val="001A7A5D"/>
    <w:rsid w:val="001B1514"/>
    <w:rsid w:val="001B306F"/>
    <w:rsid w:val="001B4DD1"/>
    <w:rsid w:val="001B7647"/>
    <w:rsid w:val="001C13F9"/>
    <w:rsid w:val="001C2475"/>
    <w:rsid w:val="001C2815"/>
    <w:rsid w:val="001C3EA8"/>
    <w:rsid w:val="001C4DF9"/>
    <w:rsid w:val="001C5174"/>
    <w:rsid w:val="001C60F9"/>
    <w:rsid w:val="001C66A5"/>
    <w:rsid w:val="001C675B"/>
    <w:rsid w:val="001C6D67"/>
    <w:rsid w:val="001D01CB"/>
    <w:rsid w:val="001D27DC"/>
    <w:rsid w:val="001D32B9"/>
    <w:rsid w:val="001D3ED8"/>
    <w:rsid w:val="001D4619"/>
    <w:rsid w:val="001D5BA2"/>
    <w:rsid w:val="001D63EC"/>
    <w:rsid w:val="001E0E25"/>
    <w:rsid w:val="001E2059"/>
    <w:rsid w:val="001E4166"/>
    <w:rsid w:val="001E4443"/>
    <w:rsid w:val="001E6178"/>
    <w:rsid w:val="001E738E"/>
    <w:rsid w:val="001F0E1A"/>
    <w:rsid w:val="001F0FF1"/>
    <w:rsid w:val="001F2B26"/>
    <w:rsid w:val="001F659A"/>
    <w:rsid w:val="001F6EDE"/>
    <w:rsid w:val="001F71BC"/>
    <w:rsid w:val="001F7588"/>
    <w:rsid w:val="00200887"/>
    <w:rsid w:val="002010B7"/>
    <w:rsid w:val="00201836"/>
    <w:rsid w:val="002066B0"/>
    <w:rsid w:val="0021114F"/>
    <w:rsid w:val="00211369"/>
    <w:rsid w:val="00211E27"/>
    <w:rsid w:val="00213281"/>
    <w:rsid w:val="002140F8"/>
    <w:rsid w:val="00214B18"/>
    <w:rsid w:val="00215647"/>
    <w:rsid w:val="00215EB3"/>
    <w:rsid w:val="00216C28"/>
    <w:rsid w:val="00220504"/>
    <w:rsid w:val="00220794"/>
    <w:rsid w:val="00221D7A"/>
    <w:rsid w:val="002224CD"/>
    <w:rsid w:val="00222E21"/>
    <w:rsid w:val="0022355D"/>
    <w:rsid w:val="00231B59"/>
    <w:rsid w:val="002322D2"/>
    <w:rsid w:val="0023275C"/>
    <w:rsid w:val="002329C9"/>
    <w:rsid w:val="0023695D"/>
    <w:rsid w:val="00236D3B"/>
    <w:rsid w:val="00240135"/>
    <w:rsid w:val="002402F1"/>
    <w:rsid w:val="00243FF9"/>
    <w:rsid w:val="00244AED"/>
    <w:rsid w:val="00244C1D"/>
    <w:rsid w:val="00245FCF"/>
    <w:rsid w:val="00250565"/>
    <w:rsid w:val="00251D55"/>
    <w:rsid w:val="00252197"/>
    <w:rsid w:val="0025396D"/>
    <w:rsid w:val="002544C4"/>
    <w:rsid w:val="002548C2"/>
    <w:rsid w:val="002561CE"/>
    <w:rsid w:val="002565CE"/>
    <w:rsid w:val="0026041C"/>
    <w:rsid w:val="00260B1B"/>
    <w:rsid w:val="00265D44"/>
    <w:rsid w:val="00266010"/>
    <w:rsid w:val="0026790E"/>
    <w:rsid w:val="00271E44"/>
    <w:rsid w:val="002722F1"/>
    <w:rsid w:val="00272E9C"/>
    <w:rsid w:val="00274A44"/>
    <w:rsid w:val="00275394"/>
    <w:rsid w:val="00275E53"/>
    <w:rsid w:val="002769D3"/>
    <w:rsid w:val="00277972"/>
    <w:rsid w:val="00281829"/>
    <w:rsid w:val="0028188C"/>
    <w:rsid w:val="00284B34"/>
    <w:rsid w:val="00284DB4"/>
    <w:rsid w:val="00285471"/>
    <w:rsid w:val="00286417"/>
    <w:rsid w:val="00286EE7"/>
    <w:rsid w:val="002877FD"/>
    <w:rsid w:val="00290C43"/>
    <w:rsid w:val="0029171F"/>
    <w:rsid w:val="002932B2"/>
    <w:rsid w:val="00293701"/>
    <w:rsid w:val="00296A90"/>
    <w:rsid w:val="00296CE7"/>
    <w:rsid w:val="00297426"/>
    <w:rsid w:val="002A0447"/>
    <w:rsid w:val="002A1041"/>
    <w:rsid w:val="002A4E5C"/>
    <w:rsid w:val="002A54C8"/>
    <w:rsid w:val="002A5A4B"/>
    <w:rsid w:val="002A7181"/>
    <w:rsid w:val="002A7511"/>
    <w:rsid w:val="002A7518"/>
    <w:rsid w:val="002B0B0F"/>
    <w:rsid w:val="002B13F1"/>
    <w:rsid w:val="002B31E5"/>
    <w:rsid w:val="002B4815"/>
    <w:rsid w:val="002B6FA0"/>
    <w:rsid w:val="002C24DD"/>
    <w:rsid w:val="002C26B0"/>
    <w:rsid w:val="002C5A02"/>
    <w:rsid w:val="002D13A5"/>
    <w:rsid w:val="002D1689"/>
    <w:rsid w:val="002D3890"/>
    <w:rsid w:val="002D577B"/>
    <w:rsid w:val="002D6A98"/>
    <w:rsid w:val="002D7A6B"/>
    <w:rsid w:val="002E05B7"/>
    <w:rsid w:val="002E1503"/>
    <w:rsid w:val="002E19B9"/>
    <w:rsid w:val="002E1FDB"/>
    <w:rsid w:val="002E3B42"/>
    <w:rsid w:val="002E4242"/>
    <w:rsid w:val="002E448E"/>
    <w:rsid w:val="002E472D"/>
    <w:rsid w:val="002E4E79"/>
    <w:rsid w:val="002F43A8"/>
    <w:rsid w:val="002F5E79"/>
    <w:rsid w:val="002F5EBC"/>
    <w:rsid w:val="002F7629"/>
    <w:rsid w:val="002F7970"/>
    <w:rsid w:val="002F7F2A"/>
    <w:rsid w:val="0030035F"/>
    <w:rsid w:val="0030090B"/>
    <w:rsid w:val="00300954"/>
    <w:rsid w:val="00301A99"/>
    <w:rsid w:val="00301C9D"/>
    <w:rsid w:val="00302513"/>
    <w:rsid w:val="00306779"/>
    <w:rsid w:val="00311DE0"/>
    <w:rsid w:val="00313F7E"/>
    <w:rsid w:val="00315A2B"/>
    <w:rsid w:val="00316530"/>
    <w:rsid w:val="00317488"/>
    <w:rsid w:val="00317BC1"/>
    <w:rsid w:val="003200CA"/>
    <w:rsid w:val="003210A6"/>
    <w:rsid w:val="00321A16"/>
    <w:rsid w:val="003235E2"/>
    <w:rsid w:val="00324F4A"/>
    <w:rsid w:val="003309E3"/>
    <w:rsid w:val="003312C2"/>
    <w:rsid w:val="003330E5"/>
    <w:rsid w:val="00335414"/>
    <w:rsid w:val="00340993"/>
    <w:rsid w:val="003413A8"/>
    <w:rsid w:val="00341CCD"/>
    <w:rsid w:val="00342668"/>
    <w:rsid w:val="0034280F"/>
    <w:rsid w:val="00342825"/>
    <w:rsid w:val="003435E9"/>
    <w:rsid w:val="00345C0F"/>
    <w:rsid w:val="003503E4"/>
    <w:rsid w:val="003505DB"/>
    <w:rsid w:val="003525D8"/>
    <w:rsid w:val="00353111"/>
    <w:rsid w:val="00353557"/>
    <w:rsid w:val="00353D15"/>
    <w:rsid w:val="00354663"/>
    <w:rsid w:val="0035471D"/>
    <w:rsid w:val="00354A1D"/>
    <w:rsid w:val="00356AF8"/>
    <w:rsid w:val="003570D7"/>
    <w:rsid w:val="003574BD"/>
    <w:rsid w:val="003575F4"/>
    <w:rsid w:val="0035796B"/>
    <w:rsid w:val="00360FF8"/>
    <w:rsid w:val="00361BF7"/>
    <w:rsid w:val="00361F0A"/>
    <w:rsid w:val="00366152"/>
    <w:rsid w:val="00366A26"/>
    <w:rsid w:val="00366BD0"/>
    <w:rsid w:val="003674EB"/>
    <w:rsid w:val="00367DD2"/>
    <w:rsid w:val="00370866"/>
    <w:rsid w:val="00371221"/>
    <w:rsid w:val="00372927"/>
    <w:rsid w:val="0037436E"/>
    <w:rsid w:val="003762CA"/>
    <w:rsid w:val="00376BAD"/>
    <w:rsid w:val="00376BFA"/>
    <w:rsid w:val="00376E19"/>
    <w:rsid w:val="00380DFD"/>
    <w:rsid w:val="003815C7"/>
    <w:rsid w:val="003820BD"/>
    <w:rsid w:val="0038345D"/>
    <w:rsid w:val="003835F1"/>
    <w:rsid w:val="0038465A"/>
    <w:rsid w:val="00385DC4"/>
    <w:rsid w:val="003861CF"/>
    <w:rsid w:val="003869E1"/>
    <w:rsid w:val="00386A9B"/>
    <w:rsid w:val="003912ED"/>
    <w:rsid w:val="0039282C"/>
    <w:rsid w:val="00392898"/>
    <w:rsid w:val="0039290A"/>
    <w:rsid w:val="003932D3"/>
    <w:rsid w:val="0039374B"/>
    <w:rsid w:val="00393F29"/>
    <w:rsid w:val="00394492"/>
    <w:rsid w:val="0039598B"/>
    <w:rsid w:val="003966F0"/>
    <w:rsid w:val="003A1952"/>
    <w:rsid w:val="003A1B52"/>
    <w:rsid w:val="003A42B9"/>
    <w:rsid w:val="003A4AA8"/>
    <w:rsid w:val="003A7165"/>
    <w:rsid w:val="003B1A79"/>
    <w:rsid w:val="003B1DB5"/>
    <w:rsid w:val="003B4B48"/>
    <w:rsid w:val="003B555A"/>
    <w:rsid w:val="003B6080"/>
    <w:rsid w:val="003B64EE"/>
    <w:rsid w:val="003B67D1"/>
    <w:rsid w:val="003B7AD5"/>
    <w:rsid w:val="003C0095"/>
    <w:rsid w:val="003C0495"/>
    <w:rsid w:val="003C0630"/>
    <w:rsid w:val="003C1239"/>
    <w:rsid w:val="003C1F0C"/>
    <w:rsid w:val="003C21FD"/>
    <w:rsid w:val="003C26E6"/>
    <w:rsid w:val="003C2BD6"/>
    <w:rsid w:val="003C3D97"/>
    <w:rsid w:val="003C5AC0"/>
    <w:rsid w:val="003D15FD"/>
    <w:rsid w:val="003D3E4A"/>
    <w:rsid w:val="003D4ACD"/>
    <w:rsid w:val="003D53AB"/>
    <w:rsid w:val="003D681F"/>
    <w:rsid w:val="003D6F45"/>
    <w:rsid w:val="003D7416"/>
    <w:rsid w:val="003E0AD1"/>
    <w:rsid w:val="003E2A70"/>
    <w:rsid w:val="003E3DB6"/>
    <w:rsid w:val="003E3F37"/>
    <w:rsid w:val="003E46E8"/>
    <w:rsid w:val="003E693A"/>
    <w:rsid w:val="003F16D2"/>
    <w:rsid w:val="003F3EE5"/>
    <w:rsid w:val="003F417D"/>
    <w:rsid w:val="003F4632"/>
    <w:rsid w:val="003F5AD8"/>
    <w:rsid w:val="003F7934"/>
    <w:rsid w:val="0040020B"/>
    <w:rsid w:val="0040383D"/>
    <w:rsid w:val="00404590"/>
    <w:rsid w:val="004048CD"/>
    <w:rsid w:val="00404D23"/>
    <w:rsid w:val="004062CA"/>
    <w:rsid w:val="004065B5"/>
    <w:rsid w:val="00407155"/>
    <w:rsid w:val="00407960"/>
    <w:rsid w:val="00410107"/>
    <w:rsid w:val="004105BB"/>
    <w:rsid w:val="00411E12"/>
    <w:rsid w:val="00413777"/>
    <w:rsid w:val="0041435F"/>
    <w:rsid w:val="00416001"/>
    <w:rsid w:val="004200FD"/>
    <w:rsid w:val="00420B24"/>
    <w:rsid w:val="00423DC0"/>
    <w:rsid w:val="0042496E"/>
    <w:rsid w:val="00424A64"/>
    <w:rsid w:val="0042517E"/>
    <w:rsid w:val="00432F98"/>
    <w:rsid w:val="004349F3"/>
    <w:rsid w:val="00434D53"/>
    <w:rsid w:val="004361C2"/>
    <w:rsid w:val="00436EB8"/>
    <w:rsid w:val="00437D4E"/>
    <w:rsid w:val="0044178C"/>
    <w:rsid w:val="00441D6D"/>
    <w:rsid w:val="00442240"/>
    <w:rsid w:val="004431A7"/>
    <w:rsid w:val="004433F5"/>
    <w:rsid w:val="004463C4"/>
    <w:rsid w:val="00446ACB"/>
    <w:rsid w:val="00446B8A"/>
    <w:rsid w:val="004477CE"/>
    <w:rsid w:val="00450277"/>
    <w:rsid w:val="004513C2"/>
    <w:rsid w:val="00453F24"/>
    <w:rsid w:val="00453FEE"/>
    <w:rsid w:val="0045409C"/>
    <w:rsid w:val="004542E6"/>
    <w:rsid w:val="00455093"/>
    <w:rsid w:val="00455502"/>
    <w:rsid w:val="0045727E"/>
    <w:rsid w:val="004573CE"/>
    <w:rsid w:val="0045747F"/>
    <w:rsid w:val="004606FD"/>
    <w:rsid w:val="0046179C"/>
    <w:rsid w:val="00461CD6"/>
    <w:rsid w:val="00462A07"/>
    <w:rsid w:val="004647AA"/>
    <w:rsid w:val="00465A55"/>
    <w:rsid w:val="004665EE"/>
    <w:rsid w:val="00467567"/>
    <w:rsid w:val="004710C8"/>
    <w:rsid w:val="004714F4"/>
    <w:rsid w:val="00471985"/>
    <w:rsid w:val="00472045"/>
    <w:rsid w:val="00472C8E"/>
    <w:rsid w:val="00474125"/>
    <w:rsid w:val="004801C0"/>
    <w:rsid w:val="00480B09"/>
    <w:rsid w:val="00480B94"/>
    <w:rsid w:val="004812DB"/>
    <w:rsid w:val="00481F2F"/>
    <w:rsid w:val="004824AC"/>
    <w:rsid w:val="00483DD4"/>
    <w:rsid w:val="004865D4"/>
    <w:rsid w:val="00491221"/>
    <w:rsid w:val="00492ADB"/>
    <w:rsid w:val="004948EC"/>
    <w:rsid w:val="004954BD"/>
    <w:rsid w:val="00496286"/>
    <w:rsid w:val="00496B6C"/>
    <w:rsid w:val="0049733B"/>
    <w:rsid w:val="004A2ECE"/>
    <w:rsid w:val="004A30CD"/>
    <w:rsid w:val="004A61A1"/>
    <w:rsid w:val="004A7D16"/>
    <w:rsid w:val="004B1FDF"/>
    <w:rsid w:val="004B231E"/>
    <w:rsid w:val="004B4AC4"/>
    <w:rsid w:val="004B4E90"/>
    <w:rsid w:val="004B656B"/>
    <w:rsid w:val="004B7BEF"/>
    <w:rsid w:val="004C1E66"/>
    <w:rsid w:val="004C290D"/>
    <w:rsid w:val="004D099F"/>
    <w:rsid w:val="004D145E"/>
    <w:rsid w:val="004D1BCB"/>
    <w:rsid w:val="004D4FAD"/>
    <w:rsid w:val="004D5FC6"/>
    <w:rsid w:val="004D6C0D"/>
    <w:rsid w:val="004D7C89"/>
    <w:rsid w:val="004E22D0"/>
    <w:rsid w:val="004E24D5"/>
    <w:rsid w:val="004E382F"/>
    <w:rsid w:val="004E4239"/>
    <w:rsid w:val="004E5133"/>
    <w:rsid w:val="004E5ADA"/>
    <w:rsid w:val="004E5BB9"/>
    <w:rsid w:val="004E61E1"/>
    <w:rsid w:val="004E705A"/>
    <w:rsid w:val="004E7301"/>
    <w:rsid w:val="004F08E4"/>
    <w:rsid w:val="004F2B57"/>
    <w:rsid w:val="004F5F26"/>
    <w:rsid w:val="00500663"/>
    <w:rsid w:val="00501CC8"/>
    <w:rsid w:val="00504873"/>
    <w:rsid w:val="00504893"/>
    <w:rsid w:val="00507051"/>
    <w:rsid w:val="00513FE9"/>
    <w:rsid w:val="005141C9"/>
    <w:rsid w:val="0052040C"/>
    <w:rsid w:val="00521602"/>
    <w:rsid w:val="00521EE0"/>
    <w:rsid w:val="00523A9D"/>
    <w:rsid w:val="005254B0"/>
    <w:rsid w:val="00525CF3"/>
    <w:rsid w:val="00525E43"/>
    <w:rsid w:val="00526BD3"/>
    <w:rsid w:val="005309A3"/>
    <w:rsid w:val="00532CA9"/>
    <w:rsid w:val="00534A4D"/>
    <w:rsid w:val="00535E8A"/>
    <w:rsid w:val="00536B56"/>
    <w:rsid w:val="00536CE5"/>
    <w:rsid w:val="00537F98"/>
    <w:rsid w:val="00541935"/>
    <w:rsid w:val="00543A44"/>
    <w:rsid w:val="005455EF"/>
    <w:rsid w:val="0054758A"/>
    <w:rsid w:val="00547B0C"/>
    <w:rsid w:val="005571D2"/>
    <w:rsid w:val="00562A33"/>
    <w:rsid w:val="00564643"/>
    <w:rsid w:val="00564D5C"/>
    <w:rsid w:val="00566E49"/>
    <w:rsid w:val="00570679"/>
    <w:rsid w:val="00573620"/>
    <w:rsid w:val="00575196"/>
    <w:rsid w:val="005775A2"/>
    <w:rsid w:val="005808D1"/>
    <w:rsid w:val="005828CC"/>
    <w:rsid w:val="0058418B"/>
    <w:rsid w:val="0058422D"/>
    <w:rsid w:val="00584D22"/>
    <w:rsid w:val="0059063A"/>
    <w:rsid w:val="00593531"/>
    <w:rsid w:val="005964B2"/>
    <w:rsid w:val="005A1A37"/>
    <w:rsid w:val="005A3399"/>
    <w:rsid w:val="005A3F3D"/>
    <w:rsid w:val="005A4860"/>
    <w:rsid w:val="005A5567"/>
    <w:rsid w:val="005A57BC"/>
    <w:rsid w:val="005B2F92"/>
    <w:rsid w:val="005B3CD3"/>
    <w:rsid w:val="005B4BF6"/>
    <w:rsid w:val="005B4C25"/>
    <w:rsid w:val="005B4F60"/>
    <w:rsid w:val="005B5E0F"/>
    <w:rsid w:val="005B65EA"/>
    <w:rsid w:val="005B7452"/>
    <w:rsid w:val="005B798E"/>
    <w:rsid w:val="005B79E1"/>
    <w:rsid w:val="005C224B"/>
    <w:rsid w:val="005C43D8"/>
    <w:rsid w:val="005C4681"/>
    <w:rsid w:val="005C4BF8"/>
    <w:rsid w:val="005C5158"/>
    <w:rsid w:val="005D360E"/>
    <w:rsid w:val="005D3677"/>
    <w:rsid w:val="005D36AA"/>
    <w:rsid w:val="005D36BD"/>
    <w:rsid w:val="005D682D"/>
    <w:rsid w:val="005D69C4"/>
    <w:rsid w:val="005D70C7"/>
    <w:rsid w:val="005E01CC"/>
    <w:rsid w:val="005E1748"/>
    <w:rsid w:val="005E2A4C"/>
    <w:rsid w:val="005E5562"/>
    <w:rsid w:val="005E5AA0"/>
    <w:rsid w:val="005E5D0B"/>
    <w:rsid w:val="005E6E60"/>
    <w:rsid w:val="005E7314"/>
    <w:rsid w:val="005F058D"/>
    <w:rsid w:val="005F15B5"/>
    <w:rsid w:val="005F1665"/>
    <w:rsid w:val="005F1895"/>
    <w:rsid w:val="005F4026"/>
    <w:rsid w:val="005F44D2"/>
    <w:rsid w:val="005F5FD9"/>
    <w:rsid w:val="005F627F"/>
    <w:rsid w:val="006020D4"/>
    <w:rsid w:val="006028BC"/>
    <w:rsid w:val="00602BCB"/>
    <w:rsid w:val="0060393C"/>
    <w:rsid w:val="00603976"/>
    <w:rsid w:val="0061735E"/>
    <w:rsid w:val="00617614"/>
    <w:rsid w:val="00617F80"/>
    <w:rsid w:val="006200F7"/>
    <w:rsid w:val="00621D46"/>
    <w:rsid w:val="00622E78"/>
    <w:rsid w:val="0062601B"/>
    <w:rsid w:val="00626FF3"/>
    <w:rsid w:val="00630A66"/>
    <w:rsid w:val="00632BE5"/>
    <w:rsid w:val="00633D2D"/>
    <w:rsid w:val="0063455A"/>
    <w:rsid w:val="00635241"/>
    <w:rsid w:val="006370D0"/>
    <w:rsid w:val="00637360"/>
    <w:rsid w:val="00637545"/>
    <w:rsid w:val="006419AE"/>
    <w:rsid w:val="00642508"/>
    <w:rsid w:val="0064462D"/>
    <w:rsid w:val="006450A3"/>
    <w:rsid w:val="006459D7"/>
    <w:rsid w:val="00651172"/>
    <w:rsid w:val="00651893"/>
    <w:rsid w:val="006527A2"/>
    <w:rsid w:val="00653925"/>
    <w:rsid w:val="006539FF"/>
    <w:rsid w:val="00653A0A"/>
    <w:rsid w:val="00653EA3"/>
    <w:rsid w:val="006545BB"/>
    <w:rsid w:val="006549F5"/>
    <w:rsid w:val="006565BC"/>
    <w:rsid w:val="00661B6F"/>
    <w:rsid w:val="00661C8E"/>
    <w:rsid w:val="006625EE"/>
    <w:rsid w:val="00662D09"/>
    <w:rsid w:val="0066389C"/>
    <w:rsid w:val="006638C8"/>
    <w:rsid w:val="00664677"/>
    <w:rsid w:val="00666A5E"/>
    <w:rsid w:val="00666C36"/>
    <w:rsid w:val="006679CC"/>
    <w:rsid w:val="00667FC5"/>
    <w:rsid w:val="0067048B"/>
    <w:rsid w:val="00670ABF"/>
    <w:rsid w:val="00671C4F"/>
    <w:rsid w:val="006721BE"/>
    <w:rsid w:val="006760B4"/>
    <w:rsid w:val="00676E84"/>
    <w:rsid w:val="00677FF5"/>
    <w:rsid w:val="00680B46"/>
    <w:rsid w:val="006830CC"/>
    <w:rsid w:val="00683A09"/>
    <w:rsid w:val="006859D6"/>
    <w:rsid w:val="00685C42"/>
    <w:rsid w:val="00687520"/>
    <w:rsid w:val="00687FE0"/>
    <w:rsid w:val="006915C0"/>
    <w:rsid w:val="006970F6"/>
    <w:rsid w:val="006973F4"/>
    <w:rsid w:val="00697D30"/>
    <w:rsid w:val="006A11CE"/>
    <w:rsid w:val="006A1805"/>
    <w:rsid w:val="006A210E"/>
    <w:rsid w:val="006A27BB"/>
    <w:rsid w:val="006A33AB"/>
    <w:rsid w:val="006A5549"/>
    <w:rsid w:val="006A6550"/>
    <w:rsid w:val="006A6677"/>
    <w:rsid w:val="006A6CB5"/>
    <w:rsid w:val="006A7155"/>
    <w:rsid w:val="006A7AFA"/>
    <w:rsid w:val="006A7C37"/>
    <w:rsid w:val="006B1B7B"/>
    <w:rsid w:val="006B233D"/>
    <w:rsid w:val="006B2363"/>
    <w:rsid w:val="006B260F"/>
    <w:rsid w:val="006B3C93"/>
    <w:rsid w:val="006B51F6"/>
    <w:rsid w:val="006B54D3"/>
    <w:rsid w:val="006C0086"/>
    <w:rsid w:val="006C0E88"/>
    <w:rsid w:val="006C122F"/>
    <w:rsid w:val="006C24B2"/>
    <w:rsid w:val="006C3921"/>
    <w:rsid w:val="006D132C"/>
    <w:rsid w:val="006D22E1"/>
    <w:rsid w:val="006D49D6"/>
    <w:rsid w:val="006D516B"/>
    <w:rsid w:val="006D61C7"/>
    <w:rsid w:val="006E17D5"/>
    <w:rsid w:val="006E22F7"/>
    <w:rsid w:val="006E2F1A"/>
    <w:rsid w:val="006E308D"/>
    <w:rsid w:val="006E32F6"/>
    <w:rsid w:val="006F1EE4"/>
    <w:rsid w:val="006F3159"/>
    <w:rsid w:val="006F3847"/>
    <w:rsid w:val="006F3C9A"/>
    <w:rsid w:val="006F5341"/>
    <w:rsid w:val="006F54DC"/>
    <w:rsid w:val="006F65FA"/>
    <w:rsid w:val="00700205"/>
    <w:rsid w:val="007014CF"/>
    <w:rsid w:val="0070217E"/>
    <w:rsid w:val="00707755"/>
    <w:rsid w:val="00710265"/>
    <w:rsid w:val="00710750"/>
    <w:rsid w:val="00710833"/>
    <w:rsid w:val="00710878"/>
    <w:rsid w:val="00712EB4"/>
    <w:rsid w:val="00713AE5"/>
    <w:rsid w:val="00714CEE"/>
    <w:rsid w:val="00716B82"/>
    <w:rsid w:val="00716EE2"/>
    <w:rsid w:val="00717434"/>
    <w:rsid w:val="00720CED"/>
    <w:rsid w:val="007218F5"/>
    <w:rsid w:val="00723FFE"/>
    <w:rsid w:val="0072610A"/>
    <w:rsid w:val="00726A2B"/>
    <w:rsid w:val="00726D16"/>
    <w:rsid w:val="00726ECD"/>
    <w:rsid w:val="007276BE"/>
    <w:rsid w:val="00732F0F"/>
    <w:rsid w:val="007348B1"/>
    <w:rsid w:val="00734D70"/>
    <w:rsid w:val="007351E7"/>
    <w:rsid w:val="00741227"/>
    <w:rsid w:val="00741798"/>
    <w:rsid w:val="00743822"/>
    <w:rsid w:val="0074407E"/>
    <w:rsid w:val="007506A1"/>
    <w:rsid w:val="0075161F"/>
    <w:rsid w:val="00752C9D"/>
    <w:rsid w:val="007560DB"/>
    <w:rsid w:val="007576AC"/>
    <w:rsid w:val="00757D4D"/>
    <w:rsid w:val="00760BD5"/>
    <w:rsid w:val="007635B5"/>
    <w:rsid w:val="00766728"/>
    <w:rsid w:val="007723A3"/>
    <w:rsid w:val="0077302D"/>
    <w:rsid w:val="00773033"/>
    <w:rsid w:val="007739C0"/>
    <w:rsid w:val="0077419E"/>
    <w:rsid w:val="00775F10"/>
    <w:rsid w:val="00776B93"/>
    <w:rsid w:val="007778EC"/>
    <w:rsid w:val="0077798D"/>
    <w:rsid w:val="00780DEA"/>
    <w:rsid w:val="00781CEC"/>
    <w:rsid w:val="00782634"/>
    <w:rsid w:val="00782B41"/>
    <w:rsid w:val="00782DF9"/>
    <w:rsid w:val="00782FB3"/>
    <w:rsid w:val="0078304B"/>
    <w:rsid w:val="007834AA"/>
    <w:rsid w:val="00784B01"/>
    <w:rsid w:val="007859DA"/>
    <w:rsid w:val="00792C1F"/>
    <w:rsid w:val="00795E7D"/>
    <w:rsid w:val="00796549"/>
    <w:rsid w:val="00796A40"/>
    <w:rsid w:val="00796F32"/>
    <w:rsid w:val="007A26AB"/>
    <w:rsid w:val="007A2CBF"/>
    <w:rsid w:val="007A3DA9"/>
    <w:rsid w:val="007A5A01"/>
    <w:rsid w:val="007A5A0C"/>
    <w:rsid w:val="007A5B4C"/>
    <w:rsid w:val="007A7072"/>
    <w:rsid w:val="007B00DA"/>
    <w:rsid w:val="007B0350"/>
    <w:rsid w:val="007B20C9"/>
    <w:rsid w:val="007B3BC4"/>
    <w:rsid w:val="007B50C4"/>
    <w:rsid w:val="007B5826"/>
    <w:rsid w:val="007B7741"/>
    <w:rsid w:val="007B7D04"/>
    <w:rsid w:val="007C0C81"/>
    <w:rsid w:val="007C4A1F"/>
    <w:rsid w:val="007C5485"/>
    <w:rsid w:val="007C7BD2"/>
    <w:rsid w:val="007C7EF4"/>
    <w:rsid w:val="007D09C5"/>
    <w:rsid w:val="007D1669"/>
    <w:rsid w:val="007D1983"/>
    <w:rsid w:val="007D2AB3"/>
    <w:rsid w:val="007D2EEE"/>
    <w:rsid w:val="007D428D"/>
    <w:rsid w:val="007D4476"/>
    <w:rsid w:val="007D6128"/>
    <w:rsid w:val="007E0A0D"/>
    <w:rsid w:val="007E13BF"/>
    <w:rsid w:val="007E16CE"/>
    <w:rsid w:val="007E19F6"/>
    <w:rsid w:val="007E2D6E"/>
    <w:rsid w:val="007E3AB0"/>
    <w:rsid w:val="007E3FC3"/>
    <w:rsid w:val="007E54A0"/>
    <w:rsid w:val="007E5D6E"/>
    <w:rsid w:val="007E686A"/>
    <w:rsid w:val="007E7435"/>
    <w:rsid w:val="007F223C"/>
    <w:rsid w:val="007F22C0"/>
    <w:rsid w:val="007F273A"/>
    <w:rsid w:val="007F2DFB"/>
    <w:rsid w:val="007F36A5"/>
    <w:rsid w:val="007F3C2B"/>
    <w:rsid w:val="007F3E29"/>
    <w:rsid w:val="007F43EF"/>
    <w:rsid w:val="007F4FFD"/>
    <w:rsid w:val="007F6F18"/>
    <w:rsid w:val="00802590"/>
    <w:rsid w:val="00804013"/>
    <w:rsid w:val="00804926"/>
    <w:rsid w:val="008063AE"/>
    <w:rsid w:val="008068CA"/>
    <w:rsid w:val="00811A19"/>
    <w:rsid w:val="00812572"/>
    <w:rsid w:val="008128DF"/>
    <w:rsid w:val="00813750"/>
    <w:rsid w:val="008143B0"/>
    <w:rsid w:val="00817114"/>
    <w:rsid w:val="00820059"/>
    <w:rsid w:val="00820633"/>
    <w:rsid w:val="00820EA1"/>
    <w:rsid w:val="008212D9"/>
    <w:rsid w:val="00821412"/>
    <w:rsid w:val="0082159A"/>
    <w:rsid w:val="0082177E"/>
    <w:rsid w:val="008217CA"/>
    <w:rsid w:val="008238FC"/>
    <w:rsid w:val="00825E1A"/>
    <w:rsid w:val="008310F0"/>
    <w:rsid w:val="00831C8E"/>
    <w:rsid w:val="00831CE2"/>
    <w:rsid w:val="00831DB3"/>
    <w:rsid w:val="00832D1E"/>
    <w:rsid w:val="008334CE"/>
    <w:rsid w:val="00833AED"/>
    <w:rsid w:val="00833E87"/>
    <w:rsid w:val="00835046"/>
    <w:rsid w:val="008359D6"/>
    <w:rsid w:val="00836BEF"/>
    <w:rsid w:val="0083712A"/>
    <w:rsid w:val="00837E72"/>
    <w:rsid w:val="008466F6"/>
    <w:rsid w:val="00847B8A"/>
    <w:rsid w:val="00850270"/>
    <w:rsid w:val="00852001"/>
    <w:rsid w:val="00853F7D"/>
    <w:rsid w:val="00854A84"/>
    <w:rsid w:val="00854E76"/>
    <w:rsid w:val="00856659"/>
    <w:rsid w:val="0085695F"/>
    <w:rsid w:val="008575C2"/>
    <w:rsid w:val="00857F67"/>
    <w:rsid w:val="008626B2"/>
    <w:rsid w:val="00862B27"/>
    <w:rsid w:val="00864791"/>
    <w:rsid w:val="00864A24"/>
    <w:rsid w:val="008656F5"/>
    <w:rsid w:val="00865CF6"/>
    <w:rsid w:val="008664A8"/>
    <w:rsid w:val="0086798C"/>
    <w:rsid w:val="00867DB9"/>
    <w:rsid w:val="00871157"/>
    <w:rsid w:val="00874456"/>
    <w:rsid w:val="00874CAF"/>
    <w:rsid w:val="008758E7"/>
    <w:rsid w:val="00880832"/>
    <w:rsid w:val="00881E41"/>
    <w:rsid w:val="00882D1E"/>
    <w:rsid w:val="008832ED"/>
    <w:rsid w:val="008839CC"/>
    <w:rsid w:val="00884234"/>
    <w:rsid w:val="00885438"/>
    <w:rsid w:val="00887FB0"/>
    <w:rsid w:val="00887FF4"/>
    <w:rsid w:val="008906BE"/>
    <w:rsid w:val="00891C75"/>
    <w:rsid w:val="008940FA"/>
    <w:rsid w:val="00894F77"/>
    <w:rsid w:val="0089579E"/>
    <w:rsid w:val="0089600A"/>
    <w:rsid w:val="008966F5"/>
    <w:rsid w:val="008A092E"/>
    <w:rsid w:val="008A0CAB"/>
    <w:rsid w:val="008A26DC"/>
    <w:rsid w:val="008A2734"/>
    <w:rsid w:val="008A5730"/>
    <w:rsid w:val="008A5D5D"/>
    <w:rsid w:val="008A71C6"/>
    <w:rsid w:val="008A78C0"/>
    <w:rsid w:val="008A7F13"/>
    <w:rsid w:val="008B0D53"/>
    <w:rsid w:val="008B228D"/>
    <w:rsid w:val="008B373C"/>
    <w:rsid w:val="008B517B"/>
    <w:rsid w:val="008B51B7"/>
    <w:rsid w:val="008B611C"/>
    <w:rsid w:val="008B68ED"/>
    <w:rsid w:val="008B6E27"/>
    <w:rsid w:val="008B79FD"/>
    <w:rsid w:val="008C1BE7"/>
    <w:rsid w:val="008C3E75"/>
    <w:rsid w:val="008C3E83"/>
    <w:rsid w:val="008C4704"/>
    <w:rsid w:val="008C541C"/>
    <w:rsid w:val="008C578E"/>
    <w:rsid w:val="008C57AA"/>
    <w:rsid w:val="008C638E"/>
    <w:rsid w:val="008D1B36"/>
    <w:rsid w:val="008D3CB6"/>
    <w:rsid w:val="008D3D6D"/>
    <w:rsid w:val="008D4E8C"/>
    <w:rsid w:val="008D601E"/>
    <w:rsid w:val="008D697D"/>
    <w:rsid w:val="008D71D6"/>
    <w:rsid w:val="008D7F32"/>
    <w:rsid w:val="008E00A0"/>
    <w:rsid w:val="008E00B3"/>
    <w:rsid w:val="008E076E"/>
    <w:rsid w:val="008E093D"/>
    <w:rsid w:val="008E0A17"/>
    <w:rsid w:val="008E59BE"/>
    <w:rsid w:val="008E648F"/>
    <w:rsid w:val="008E684B"/>
    <w:rsid w:val="008E7543"/>
    <w:rsid w:val="008F057C"/>
    <w:rsid w:val="008F2E28"/>
    <w:rsid w:val="008F3ACA"/>
    <w:rsid w:val="008F4183"/>
    <w:rsid w:val="008F72CE"/>
    <w:rsid w:val="00903A9E"/>
    <w:rsid w:val="00903EB9"/>
    <w:rsid w:val="00905BF3"/>
    <w:rsid w:val="00907982"/>
    <w:rsid w:val="00910075"/>
    <w:rsid w:val="00912665"/>
    <w:rsid w:val="0091369A"/>
    <w:rsid w:val="00913E55"/>
    <w:rsid w:val="009168A4"/>
    <w:rsid w:val="00920632"/>
    <w:rsid w:val="00920BBF"/>
    <w:rsid w:val="00923B29"/>
    <w:rsid w:val="00924475"/>
    <w:rsid w:val="00925832"/>
    <w:rsid w:val="00927721"/>
    <w:rsid w:val="00932AAE"/>
    <w:rsid w:val="0093362D"/>
    <w:rsid w:val="00933979"/>
    <w:rsid w:val="00933C5D"/>
    <w:rsid w:val="00933F75"/>
    <w:rsid w:val="00934C3D"/>
    <w:rsid w:val="00940371"/>
    <w:rsid w:val="00940FFF"/>
    <w:rsid w:val="009413D5"/>
    <w:rsid w:val="00947A0C"/>
    <w:rsid w:val="00950A1C"/>
    <w:rsid w:val="00951590"/>
    <w:rsid w:val="00951B54"/>
    <w:rsid w:val="00951E1C"/>
    <w:rsid w:val="00952977"/>
    <w:rsid w:val="00952D6A"/>
    <w:rsid w:val="0095518E"/>
    <w:rsid w:val="00955895"/>
    <w:rsid w:val="0095764D"/>
    <w:rsid w:val="0096158A"/>
    <w:rsid w:val="009629C4"/>
    <w:rsid w:val="0096319A"/>
    <w:rsid w:val="00965A59"/>
    <w:rsid w:val="00965CF5"/>
    <w:rsid w:val="009661BF"/>
    <w:rsid w:val="009662BC"/>
    <w:rsid w:val="009668AB"/>
    <w:rsid w:val="00967090"/>
    <w:rsid w:val="00970860"/>
    <w:rsid w:val="00973232"/>
    <w:rsid w:val="00973D3C"/>
    <w:rsid w:val="00974B58"/>
    <w:rsid w:val="009755E0"/>
    <w:rsid w:val="00976C0D"/>
    <w:rsid w:val="00977125"/>
    <w:rsid w:val="009807F1"/>
    <w:rsid w:val="00980B58"/>
    <w:rsid w:val="00986293"/>
    <w:rsid w:val="0099362D"/>
    <w:rsid w:val="0099604E"/>
    <w:rsid w:val="009A058A"/>
    <w:rsid w:val="009A094A"/>
    <w:rsid w:val="009A31B5"/>
    <w:rsid w:val="009A46EE"/>
    <w:rsid w:val="009A4A07"/>
    <w:rsid w:val="009A558A"/>
    <w:rsid w:val="009A682F"/>
    <w:rsid w:val="009B36CD"/>
    <w:rsid w:val="009B37C2"/>
    <w:rsid w:val="009B3D5C"/>
    <w:rsid w:val="009C0327"/>
    <w:rsid w:val="009C2071"/>
    <w:rsid w:val="009C2795"/>
    <w:rsid w:val="009C298F"/>
    <w:rsid w:val="009C384F"/>
    <w:rsid w:val="009C7B48"/>
    <w:rsid w:val="009D0261"/>
    <w:rsid w:val="009D0BD4"/>
    <w:rsid w:val="009D23E1"/>
    <w:rsid w:val="009D24BC"/>
    <w:rsid w:val="009D5845"/>
    <w:rsid w:val="009D6A89"/>
    <w:rsid w:val="009E07FA"/>
    <w:rsid w:val="009E2D7C"/>
    <w:rsid w:val="009E3A4A"/>
    <w:rsid w:val="009E4922"/>
    <w:rsid w:val="009E5144"/>
    <w:rsid w:val="009E59F8"/>
    <w:rsid w:val="009E62A0"/>
    <w:rsid w:val="009E6D17"/>
    <w:rsid w:val="009E7210"/>
    <w:rsid w:val="009F1F9C"/>
    <w:rsid w:val="009F3A1D"/>
    <w:rsid w:val="009F3C2A"/>
    <w:rsid w:val="009F4A9E"/>
    <w:rsid w:val="009F5F6D"/>
    <w:rsid w:val="00A03142"/>
    <w:rsid w:val="00A0333B"/>
    <w:rsid w:val="00A03A5C"/>
    <w:rsid w:val="00A04D2F"/>
    <w:rsid w:val="00A14A46"/>
    <w:rsid w:val="00A16322"/>
    <w:rsid w:val="00A1680D"/>
    <w:rsid w:val="00A179A3"/>
    <w:rsid w:val="00A2277A"/>
    <w:rsid w:val="00A22799"/>
    <w:rsid w:val="00A22C4A"/>
    <w:rsid w:val="00A259FD"/>
    <w:rsid w:val="00A30F0C"/>
    <w:rsid w:val="00A31C09"/>
    <w:rsid w:val="00A32C12"/>
    <w:rsid w:val="00A32EC1"/>
    <w:rsid w:val="00A3394F"/>
    <w:rsid w:val="00A3689A"/>
    <w:rsid w:val="00A40A78"/>
    <w:rsid w:val="00A46BD8"/>
    <w:rsid w:val="00A477FE"/>
    <w:rsid w:val="00A514FF"/>
    <w:rsid w:val="00A51F26"/>
    <w:rsid w:val="00A52084"/>
    <w:rsid w:val="00A52B11"/>
    <w:rsid w:val="00A5339C"/>
    <w:rsid w:val="00A54D51"/>
    <w:rsid w:val="00A56C6B"/>
    <w:rsid w:val="00A57E60"/>
    <w:rsid w:val="00A606D1"/>
    <w:rsid w:val="00A60F69"/>
    <w:rsid w:val="00A62431"/>
    <w:rsid w:val="00A626D1"/>
    <w:rsid w:val="00A63051"/>
    <w:rsid w:val="00A63135"/>
    <w:rsid w:val="00A6314C"/>
    <w:rsid w:val="00A6319A"/>
    <w:rsid w:val="00A65FF4"/>
    <w:rsid w:val="00A6691C"/>
    <w:rsid w:val="00A6712D"/>
    <w:rsid w:val="00A6764A"/>
    <w:rsid w:val="00A67A93"/>
    <w:rsid w:val="00A711AD"/>
    <w:rsid w:val="00A72FD0"/>
    <w:rsid w:val="00A735B4"/>
    <w:rsid w:val="00A73972"/>
    <w:rsid w:val="00A745D5"/>
    <w:rsid w:val="00A7674F"/>
    <w:rsid w:val="00A76B4E"/>
    <w:rsid w:val="00A813E3"/>
    <w:rsid w:val="00A81B81"/>
    <w:rsid w:val="00A827A7"/>
    <w:rsid w:val="00A827D2"/>
    <w:rsid w:val="00A83DC5"/>
    <w:rsid w:val="00A84716"/>
    <w:rsid w:val="00A85E64"/>
    <w:rsid w:val="00A87953"/>
    <w:rsid w:val="00A87EF1"/>
    <w:rsid w:val="00A91EE6"/>
    <w:rsid w:val="00A92D59"/>
    <w:rsid w:val="00A94528"/>
    <w:rsid w:val="00A947D7"/>
    <w:rsid w:val="00A94A10"/>
    <w:rsid w:val="00A962C3"/>
    <w:rsid w:val="00A96342"/>
    <w:rsid w:val="00AA0051"/>
    <w:rsid w:val="00AA27C5"/>
    <w:rsid w:val="00AA2C2C"/>
    <w:rsid w:val="00AA3FC8"/>
    <w:rsid w:val="00AA5221"/>
    <w:rsid w:val="00AA5F98"/>
    <w:rsid w:val="00AA6041"/>
    <w:rsid w:val="00AA6309"/>
    <w:rsid w:val="00AA6E6D"/>
    <w:rsid w:val="00AB0F01"/>
    <w:rsid w:val="00AB24FD"/>
    <w:rsid w:val="00AB252C"/>
    <w:rsid w:val="00AB3CB2"/>
    <w:rsid w:val="00AB532C"/>
    <w:rsid w:val="00AB5C94"/>
    <w:rsid w:val="00AB6B6F"/>
    <w:rsid w:val="00AB76F8"/>
    <w:rsid w:val="00AC0609"/>
    <w:rsid w:val="00AC0B2A"/>
    <w:rsid w:val="00AC0E16"/>
    <w:rsid w:val="00AC2DE7"/>
    <w:rsid w:val="00AC3BC2"/>
    <w:rsid w:val="00AC4FAD"/>
    <w:rsid w:val="00AC5652"/>
    <w:rsid w:val="00AD3CBE"/>
    <w:rsid w:val="00AD3D69"/>
    <w:rsid w:val="00AE1924"/>
    <w:rsid w:val="00AE782F"/>
    <w:rsid w:val="00AF0971"/>
    <w:rsid w:val="00AF164E"/>
    <w:rsid w:val="00AF2AC3"/>
    <w:rsid w:val="00AF358A"/>
    <w:rsid w:val="00AF4832"/>
    <w:rsid w:val="00AF54D0"/>
    <w:rsid w:val="00AF5BED"/>
    <w:rsid w:val="00B00527"/>
    <w:rsid w:val="00B013A6"/>
    <w:rsid w:val="00B01CE2"/>
    <w:rsid w:val="00B04197"/>
    <w:rsid w:val="00B04CBD"/>
    <w:rsid w:val="00B05301"/>
    <w:rsid w:val="00B06905"/>
    <w:rsid w:val="00B07372"/>
    <w:rsid w:val="00B100E4"/>
    <w:rsid w:val="00B121DC"/>
    <w:rsid w:val="00B12307"/>
    <w:rsid w:val="00B1266A"/>
    <w:rsid w:val="00B12742"/>
    <w:rsid w:val="00B12E53"/>
    <w:rsid w:val="00B143CF"/>
    <w:rsid w:val="00B1613F"/>
    <w:rsid w:val="00B16B08"/>
    <w:rsid w:val="00B17331"/>
    <w:rsid w:val="00B17519"/>
    <w:rsid w:val="00B177EF"/>
    <w:rsid w:val="00B217DA"/>
    <w:rsid w:val="00B22737"/>
    <w:rsid w:val="00B22C59"/>
    <w:rsid w:val="00B24170"/>
    <w:rsid w:val="00B2564E"/>
    <w:rsid w:val="00B2681B"/>
    <w:rsid w:val="00B27F40"/>
    <w:rsid w:val="00B31834"/>
    <w:rsid w:val="00B31C9B"/>
    <w:rsid w:val="00B320EF"/>
    <w:rsid w:val="00B3487C"/>
    <w:rsid w:val="00B3605F"/>
    <w:rsid w:val="00B36D45"/>
    <w:rsid w:val="00B37332"/>
    <w:rsid w:val="00B40301"/>
    <w:rsid w:val="00B42003"/>
    <w:rsid w:val="00B44D0B"/>
    <w:rsid w:val="00B44EDC"/>
    <w:rsid w:val="00B4518D"/>
    <w:rsid w:val="00B50CC5"/>
    <w:rsid w:val="00B516E6"/>
    <w:rsid w:val="00B51CEF"/>
    <w:rsid w:val="00B52B0D"/>
    <w:rsid w:val="00B5304C"/>
    <w:rsid w:val="00B54813"/>
    <w:rsid w:val="00B57099"/>
    <w:rsid w:val="00B574A0"/>
    <w:rsid w:val="00B62574"/>
    <w:rsid w:val="00B62F50"/>
    <w:rsid w:val="00B63514"/>
    <w:rsid w:val="00B65406"/>
    <w:rsid w:val="00B65F08"/>
    <w:rsid w:val="00B661C3"/>
    <w:rsid w:val="00B66BBF"/>
    <w:rsid w:val="00B67606"/>
    <w:rsid w:val="00B70EF2"/>
    <w:rsid w:val="00B71B0B"/>
    <w:rsid w:val="00B72B2E"/>
    <w:rsid w:val="00B742CB"/>
    <w:rsid w:val="00B74372"/>
    <w:rsid w:val="00B74B06"/>
    <w:rsid w:val="00B7653E"/>
    <w:rsid w:val="00B7712B"/>
    <w:rsid w:val="00B837DD"/>
    <w:rsid w:val="00B83A5C"/>
    <w:rsid w:val="00B83F3E"/>
    <w:rsid w:val="00B85839"/>
    <w:rsid w:val="00B85AB5"/>
    <w:rsid w:val="00B87FEB"/>
    <w:rsid w:val="00B90CDF"/>
    <w:rsid w:val="00B91DCB"/>
    <w:rsid w:val="00B9224B"/>
    <w:rsid w:val="00B92939"/>
    <w:rsid w:val="00B9302B"/>
    <w:rsid w:val="00B9386F"/>
    <w:rsid w:val="00B940BC"/>
    <w:rsid w:val="00B94EC1"/>
    <w:rsid w:val="00B966BD"/>
    <w:rsid w:val="00B96C99"/>
    <w:rsid w:val="00BA0488"/>
    <w:rsid w:val="00BA0F83"/>
    <w:rsid w:val="00BA12DC"/>
    <w:rsid w:val="00BA22B1"/>
    <w:rsid w:val="00BA4133"/>
    <w:rsid w:val="00BA721A"/>
    <w:rsid w:val="00BA7748"/>
    <w:rsid w:val="00BA7767"/>
    <w:rsid w:val="00BA789E"/>
    <w:rsid w:val="00BB0C55"/>
    <w:rsid w:val="00BB157E"/>
    <w:rsid w:val="00BB3B24"/>
    <w:rsid w:val="00BB5DAE"/>
    <w:rsid w:val="00BB60AC"/>
    <w:rsid w:val="00BB68B3"/>
    <w:rsid w:val="00BC05A7"/>
    <w:rsid w:val="00BC07DF"/>
    <w:rsid w:val="00BC0ADA"/>
    <w:rsid w:val="00BC3B9B"/>
    <w:rsid w:val="00BC5637"/>
    <w:rsid w:val="00BC62B6"/>
    <w:rsid w:val="00BC7EDB"/>
    <w:rsid w:val="00BD2F63"/>
    <w:rsid w:val="00BD3BE0"/>
    <w:rsid w:val="00BD47A7"/>
    <w:rsid w:val="00BD5A4B"/>
    <w:rsid w:val="00BE0DB7"/>
    <w:rsid w:val="00BE182C"/>
    <w:rsid w:val="00BE47D9"/>
    <w:rsid w:val="00BE53C1"/>
    <w:rsid w:val="00BE645A"/>
    <w:rsid w:val="00BE6656"/>
    <w:rsid w:val="00BE6826"/>
    <w:rsid w:val="00BE7D0F"/>
    <w:rsid w:val="00BF0F7A"/>
    <w:rsid w:val="00BF2610"/>
    <w:rsid w:val="00BF4DDC"/>
    <w:rsid w:val="00BF532A"/>
    <w:rsid w:val="00BF54DE"/>
    <w:rsid w:val="00BF6582"/>
    <w:rsid w:val="00C00294"/>
    <w:rsid w:val="00C002C4"/>
    <w:rsid w:val="00C0128F"/>
    <w:rsid w:val="00C0183B"/>
    <w:rsid w:val="00C02BCE"/>
    <w:rsid w:val="00C031DD"/>
    <w:rsid w:val="00C0542B"/>
    <w:rsid w:val="00C05D35"/>
    <w:rsid w:val="00C07237"/>
    <w:rsid w:val="00C07C9C"/>
    <w:rsid w:val="00C07F94"/>
    <w:rsid w:val="00C10253"/>
    <w:rsid w:val="00C1283D"/>
    <w:rsid w:val="00C136E7"/>
    <w:rsid w:val="00C1384E"/>
    <w:rsid w:val="00C14807"/>
    <w:rsid w:val="00C14A77"/>
    <w:rsid w:val="00C20117"/>
    <w:rsid w:val="00C211C6"/>
    <w:rsid w:val="00C216BC"/>
    <w:rsid w:val="00C227D7"/>
    <w:rsid w:val="00C22878"/>
    <w:rsid w:val="00C22B76"/>
    <w:rsid w:val="00C22E89"/>
    <w:rsid w:val="00C23D02"/>
    <w:rsid w:val="00C24CC3"/>
    <w:rsid w:val="00C26647"/>
    <w:rsid w:val="00C266EF"/>
    <w:rsid w:val="00C26B4A"/>
    <w:rsid w:val="00C27A3D"/>
    <w:rsid w:val="00C307AA"/>
    <w:rsid w:val="00C323F8"/>
    <w:rsid w:val="00C32A23"/>
    <w:rsid w:val="00C3345E"/>
    <w:rsid w:val="00C34426"/>
    <w:rsid w:val="00C345DE"/>
    <w:rsid w:val="00C34BC6"/>
    <w:rsid w:val="00C3546E"/>
    <w:rsid w:val="00C362ED"/>
    <w:rsid w:val="00C37271"/>
    <w:rsid w:val="00C372CD"/>
    <w:rsid w:val="00C40482"/>
    <w:rsid w:val="00C41508"/>
    <w:rsid w:val="00C43841"/>
    <w:rsid w:val="00C446E5"/>
    <w:rsid w:val="00C45507"/>
    <w:rsid w:val="00C45E11"/>
    <w:rsid w:val="00C46B46"/>
    <w:rsid w:val="00C50747"/>
    <w:rsid w:val="00C5112B"/>
    <w:rsid w:val="00C53728"/>
    <w:rsid w:val="00C53CCE"/>
    <w:rsid w:val="00C5534D"/>
    <w:rsid w:val="00C55539"/>
    <w:rsid w:val="00C55707"/>
    <w:rsid w:val="00C55744"/>
    <w:rsid w:val="00C55A37"/>
    <w:rsid w:val="00C56D5E"/>
    <w:rsid w:val="00C5701B"/>
    <w:rsid w:val="00C60785"/>
    <w:rsid w:val="00C616AE"/>
    <w:rsid w:val="00C635C9"/>
    <w:rsid w:val="00C63BD8"/>
    <w:rsid w:val="00C645D4"/>
    <w:rsid w:val="00C662C7"/>
    <w:rsid w:val="00C664F3"/>
    <w:rsid w:val="00C670C8"/>
    <w:rsid w:val="00C675FA"/>
    <w:rsid w:val="00C72004"/>
    <w:rsid w:val="00C73238"/>
    <w:rsid w:val="00C734E6"/>
    <w:rsid w:val="00C73B1A"/>
    <w:rsid w:val="00C73F5F"/>
    <w:rsid w:val="00C74BF5"/>
    <w:rsid w:val="00C76731"/>
    <w:rsid w:val="00C76A56"/>
    <w:rsid w:val="00C77AAD"/>
    <w:rsid w:val="00C77B5D"/>
    <w:rsid w:val="00C80BC3"/>
    <w:rsid w:val="00C811A0"/>
    <w:rsid w:val="00C81A2A"/>
    <w:rsid w:val="00C82032"/>
    <w:rsid w:val="00C848B8"/>
    <w:rsid w:val="00C84CF0"/>
    <w:rsid w:val="00C8519D"/>
    <w:rsid w:val="00C86792"/>
    <w:rsid w:val="00C876A1"/>
    <w:rsid w:val="00C87B2B"/>
    <w:rsid w:val="00C87D74"/>
    <w:rsid w:val="00C91D6C"/>
    <w:rsid w:val="00C92EDE"/>
    <w:rsid w:val="00C96693"/>
    <w:rsid w:val="00C96B5B"/>
    <w:rsid w:val="00C97016"/>
    <w:rsid w:val="00CA0651"/>
    <w:rsid w:val="00CA2011"/>
    <w:rsid w:val="00CA3443"/>
    <w:rsid w:val="00CA5360"/>
    <w:rsid w:val="00CA59E0"/>
    <w:rsid w:val="00CA5F88"/>
    <w:rsid w:val="00CA660B"/>
    <w:rsid w:val="00CB035C"/>
    <w:rsid w:val="00CB06DE"/>
    <w:rsid w:val="00CB0FAD"/>
    <w:rsid w:val="00CB1B09"/>
    <w:rsid w:val="00CB24F1"/>
    <w:rsid w:val="00CB293B"/>
    <w:rsid w:val="00CB3F83"/>
    <w:rsid w:val="00CB4CB4"/>
    <w:rsid w:val="00CB7568"/>
    <w:rsid w:val="00CC25ED"/>
    <w:rsid w:val="00CC2D4F"/>
    <w:rsid w:val="00CC54ED"/>
    <w:rsid w:val="00CC5FC7"/>
    <w:rsid w:val="00CD1917"/>
    <w:rsid w:val="00CD23ED"/>
    <w:rsid w:val="00CD4801"/>
    <w:rsid w:val="00CD4817"/>
    <w:rsid w:val="00CD59FB"/>
    <w:rsid w:val="00CD5E47"/>
    <w:rsid w:val="00CE07EE"/>
    <w:rsid w:val="00CE18D5"/>
    <w:rsid w:val="00CE648E"/>
    <w:rsid w:val="00CE744D"/>
    <w:rsid w:val="00CF22DC"/>
    <w:rsid w:val="00CF432F"/>
    <w:rsid w:val="00CF578D"/>
    <w:rsid w:val="00CF61D1"/>
    <w:rsid w:val="00CF66E4"/>
    <w:rsid w:val="00CF7A73"/>
    <w:rsid w:val="00CF7A88"/>
    <w:rsid w:val="00D00953"/>
    <w:rsid w:val="00D0128E"/>
    <w:rsid w:val="00D02403"/>
    <w:rsid w:val="00D03447"/>
    <w:rsid w:val="00D04771"/>
    <w:rsid w:val="00D06198"/>
    <w:rsid w:val="00D06855"/>
    <w:rsid w:val="00D07B09"/>
    <w:rsid w:val="00D10168"/>
    <w:rsid w:val="00D109DB"/>
    <w:rsid w:val="00D113F4"/>
    <w:rsid w:val="00D11ADA"/>
    <w:rsid w:val="00D11FF3"/>
    <w:rsid w:val="00D12933"/>
    <w:rsid w:val="00D12E19"/>
    <w:rsid w:val="00D15499"/>
    <w:rsid w:val="00D16625"/>
    <w:rsid w:val="00D20C36"/>
    <w:rsid w:val="00D218E5"/>
    <w:rsid w:val="00D24E29"/>
    <w:rsid w:val="00D251F2"/>
    <w:rsid w:val="00D2680A"/>
    <w:rsid w:val="00D274F9"/>
    <w:rsid w:val="00D30F5D"/>
    <w:rsid w:val="00D313A8"/>
    <w:rsid w:val="00D354B7"/>
    <w:rsid w:val="00D367E4"/>
    <w:rsid w:val="00D36DED"/>
    <w:rsid w:val="00D37C3E"/>
    <w:rsid w:val="00D412D8"/>
    <w:rsid w:val="00D41577"/>
    <w:rsid w:val="00D424C7"/>
    <w:rsid w:val="00D4309F"/>
    <w:rsid w:val="00D4341B"/>
    <w:rsid w:val="00D44F01"/>
    <w:rsid w:val="00D450AE"/>
    <w:rsid w:val="00D46231"/>
    <w:rsid w:val="00D53299"/>
    <w:rsid w:val="00D53949"/>
    <w:rsid w:val="00D53F10"/>
    <w:rsid w:val="00D55995"/>
    <w:rsid w:val="00D56931"/>
    <w:rsid w:val="00D57BD4"/>
    <w:rsid w:val="00D63498"/>
    <w:rsid w:val="00D64136"/>
    <w:rsid w:val="00D6531A"/>
    <w:rsid w:val="00D653D0"/>
    <w:rsid w:val="00D70CBC"/>
    <w:rsid w:val="00D713C2"/>
    <w:rsid w:val="00D73492"/>
    <w:rsid w:val="00D76F06"/>
    <w:rsid w:val="00D80B23"/>
    <w:rsid w:val="00D870DC"/>
    <w:rsid w:val="00D87F3B"/>
    <w:rsid w:val="00D908AD"/>
    <w:rsid w:val="00D90A60"/>
    <w:rsid w:val="00D9254C"/>
    <w:rsid w:val="00D92F33"/>
    <w:rsid w:val="00D93DA9"/>
    <w:rsid w:val="00D95E7D"/>
    <w:rsid w:val="00D96186"/>
    <w:rsid w:val="00D9747C"/>
    <w:rsid w:val="00DA1983"/>
    <w:rsid w:val="00DA1C75"/>
    <w:rsid w:val="00DA20AB"/>
    <w:rsid w:val="00DA561E"/>
    <w:rsid w:val="00DA767F"/>
    <w:rsid w:val="00DA775F"/>
    <w:rsid w:val="00DA7A6E"/>
    <w:rsid w:val="00DB3F99"/>
    <w:rsid w:val="00DB4630"/>
    <w:rsid w:val="00DB5C88"/>
    <w:rsid w:val="00DB61F6"/>
    <w:rsid w:val="00DB7C1C"/>
    <w:rsid w:val="00DC0A13"/>
    <w:rsid w:val="00DC1027"/>
    <w:rsid w:val="00DC273A"/>
    <w:rsid w:val="00DC2BAC"/>
    <w:rsid w:val="00DC6C90"/>
    <w:rsid w:val="00DC7492"/>
    <w:rsid w:val="00DC7706"/>
    <w:rsid w:val="00DD11CB"/>
    <w:rsid w:val="00DD1AB3"/>
    <w:rsid w:val="00DD1C58"/>
    <w:rsid w:val="00DD2B97"/>
    <w:rsid w:val="00DD3064"/>
    <w:rsid w:val="00DD30A8"/>
    <w:rsid w:val="00DD383C"/>
    <w:rsid w:val="00DD49AA"/>
    <w:rsid w:val="00DD5C3D"/>
    <w:rsid w:val="00DD63E8"/>
    <w:rsid w:val="00DD7DC9"/>
    <w:rsid w:val="00DE076B"/>
    <w:rsid w:val="00DE0E54"/>
    <w:rsid w:val="00DE3F3D"/>
    <w:rsid w:val="00DE4DAC"/>
    <w:rsid w:val="00DE5207"/>
    <w:rsid w:val="00DE65E4"/>
    <w:rsid w:val="00DE744C"/>
    <w:rsid w:val="00DE76A9"/>
    <w:rsid w:val="00DE7DA1"/>
    <w:rsid w:val="00DF007F"/>
    <w:rsid w:val="00DF097C"/>
    <w:rsid w:val="00DF0DD1"/>
    <w:rsid w:val="00DF20B8"/>
    <w:rsid w:val="00DF62FB"/>
    <w:rsid w:val="00DF638D"/>
    <w:rsid w:val="00DF69A9"/>
    <w:rsid w:val="00DF766F"/>
    <w:rsid w:val="00E00003"/>
    <w:rsid w:val="00E006AB"/>
    <w:rsid w:val="00E00ACA"/>
    <w:rsid w:val="00E01879"/>
    <w:rsid w:val="00E019D3"/>
    <w:rsid w:val="00E0405D"/>
    <w:rsid w:val="00E041BA"/>
    <w:rsid w:val="00E0421C"/>
    <w:rsid w:val="00E052BE"/>
    <w:rsid w:val="00E05CE3"/>
    <w:rsid w:val="00E05E8A"/>
    <w:rsid w:val="00E06A7D"/>
    <w:rsid w:val="00E06E5E"/>
    <w:rsid w:val="00E074CE"/>
    <w:rsid w:val="00E07C7F"/>
    <w:rsid w:val="00E1042D"/>
    <w:rsid w:val="00E1081B"/>
    <w:rsid w:val="00E120BD"/>
    <w:rsid w:val="00E12490"/>
    <w:rsid w:val="00E13376"/>
    <w:rsid w:val="00E21A59"/>
    <w:rsid w:val="00E226A6"/>
    <w:rsid w:val="00E30F2B"/>
    <w:rsid w:val="00E3128F"/>
    <w:rsid w:val="00E33C3B"/>
    <w:rsid w:val="00E3628F"/>
    <w:rsid w:val="00E41094"/>
    <w:rsid w:val="00E41771"/>
    <w:rsid w:val="00E422D3"/>
    <w:rsid w:val="00E44367"/>
    <w:rsid w:val="00E44C79"/>
    <w:rsid w:val="00E44CCA"/>
    <w:rsid w:val="00E4544B"/>
    <w:rsid w:val="00E4602A"/>
    <w:rsid w:val="00E463C9"/>
    <w:rsid w:val="00E46406"/>
    <w:rsid w:val="00E46DBD"/>
    <w:rsid w:val="00E46E8A"/>
    <w:rsid w:val="00E51F30"/>
    <w:rsid w:val="00E52375"/>
    <w:rsid w:val="00E53F4D"/>
    <w:rsid w:val="00E55678"/>
    <w:rsid w:val="00E55EC5"/>
    <w:rsid w:val="00E566E5"/>
    <w:rsid w:val="00E57FD1"/>
    <w:rsid w:val="00E63642"/>
    <w:rsid w:val="00E64826"/>
    <w:rsid w:val="00E649BD"/>
    <w:rsid w:val="00E65971"/>
    <w:rsid w:val="00E65A63"/>
    <w:rsid w:val="00E706CD"/>
    <w:rsid w:val="00E7111D"/>
    <w:rsid w:val="00E7194E"/>
    <w:rsid w:val="00E72D26"/>
    <w:rsid w:val="00E73E6D"/>
    <w:rsid w:val="00E74103"/>
    <w:rsid w:val="00E75854"/>
    <w:rsid w:val="00E75BB6"/>
    <w:rsid w:val="00E76651"/>
    <w:rsid w:val="00E773B0"/>
    <w:rsid w:val="00E77F41"/>
    <w:rsid w:val="00E80575"/>
    <w:rsid w:val="00E826B4"/>
    <w:rsid w:val="00E826F3"/>
    <w:rsid w:val="00E82841"/>
    <w:rsid w:val="00E82D37"/>
    <w:rsid w:val="00E83275"/>
    <w:rsid w:val="00E83277"/>
    <w:rsid w:val="00E839C6"/>
    <w:rsid w:val="00E84256"/>
    <w:rsid w:val="00E852C8"/>
    <w:rsid w:val="00E86A25"/>
    <w:rsid w:val="00E9101B"/>
    <w:rsid w:val="00E925F0"/>
    <w:rsid w:val="00E93E3D"/>
    <w:rsid w:val="00E94A9B"/>
    <w:rsid w:val="00E94AC5"/>
    <w:rsid w:val="00E94D96"/>
    <w:rsid w:val="00EA0D0B"/>
    <w:rsid w:val="00EA3813"/>
    <w:rsid w:val="00EA3A3F"/>
    <w:rsid w:val="00EA3DA4"/>
    <w:rsid w:val="00EA4845"/>
    <w:rsid w:val="00EA4E9F"/>
    <w:rsid w:val="00EA5D51"/>
    <w:rsid w:val="00EA61E4"/>
    <w:rsid w:val="00EA6312"/>
    <w:rsid w:val="00EA6D6B"/>
    <w:rsid w:val="00EB02DA"/>
    <w:rsid w:val="00EB0AED"/>
    <w:rsid w:val="00EB1439"/>
    <w:rsid w:val="00EB1C5B"/>
    <w:rsid w:val="00EB1C83"/>
    <w:rsid w:val="00EB2186"/>
    <w:rsid w:val="00EB2AC7"/>
    <w:rsid w:val="00EB71B2"/>
    <w:rsid w:val="00EC0DA2"/>
    <w:rsid w:val="00EC141B"/>
    <w:rsid w:val="00EC1C7A"/>
    <w:rsid w:val="00EC2CFF"/>
    <w:rsid w:val="00EC3604"/>
    <w:rsid w:val="00EC3C1E"/>
    <w:rsid w:val="00EC76C4"/>
    <w:rsid w:val="00ED0249"/>
    <w:rsid w:val="00ED0685"/>
    <w:rsid w:val="00ED0A69"/>
    <w:rsid w:val="00ED178C"/>
    <w:rsid w:val="00ED2538"/>
    <w:rsid w:val="00EE0095"/>
    <w:rsid w:val="00EE0D73"/>
    <w:rsid w:val="00EE3781"/>
    <w:rsid w:val="00EE39BE"/>
    <w:rsid w:val="00EE618B"/>
    <w:rsid w:val="00EE638F"/>
    <w:rsid w:val="00EE67F5"/>
    <w:rsid w:val="00EE7180"/>
    <w:rsid w:val="00EE792B"/>
    <w:rsid w:val="00EF1372"/>
    <w:rsid w:val="00EF1750"/>
    <w:rsid w:val="00EF2226"/>
    <w:rsid w:val="00EF3C0C"/>
    <w:rsid w:val="00EF5A05"/>
    <w:rsid w:val="00EF647E"/>
    <w:rsid w:val="00EF69A5"/>
    <w:rsid w:val="00F01A46"/>
    <w:rsid w:val="00F01E7B"/>
    <w:rsid w:val="00F037CF"/>
    <w:rsid w:val="00F042E3"/>
    <w:rsid w:val="00F048BE"/>
    <w:rsid w:val="00F0723D"/>
    <w:rsid w:val="00F07605"/>
    <w:rsid w:val="00F12625"/>
    <w:rsid w:val="00F14391"/>
    <w:rsid w:val="00F14519"/>
    <w:rsid w:val="00F17327"/>
    <w:rsid w:val="00F17447"/>
    <w:rsid w:val="00F20067"/>
    <w:rsid w:val="00F212D5"/>
    <w:rsid w:val="00F21315"/>
    <w:rsid w:val="00F22388"/>
    <w:rsid w:val="00F22E4B"/>
    <w:rsid w:val="00F23236"/>
    <w:rsid w:val="00F2373D"/>
    <w:rsid w:val="00F23C2A"/>
    <w:rsid w:val="00F24BD2"/>
    <w:rsid w:val="00F26707"/>
    <w:rsid w:val="00F26EC8"/>
    <w:rsid w:val="00F30907"/>
    <w:rsid w:val="00F317EE"/>
    <w:rsid w:val="00F31BC7"/>
    <w:rsid w:val="00F3342B"/>
    <w:rsid w:val="00F3562D"/>
    <w:rsid w:val="00F367EC"/>
    <w:rsid w:val="00F376D7"/>
    <w:rsid w:val="00F408CD"/>
    <w:rsid w:val="00F40C28"/>
    <w:rsid w:val="00F40DAE"/>
    <w:rsid w:val="00F41382"/>
    <w:rsid w:val="00F4718E"/>
    <w:rsid w:val="00F4750F"/>
    <w:rsid w:val="00F5283D"/>
    <w:rsid w:val="00F52C42"/>
    <w:rsid w:val="00F52E5D"/>
    <w:rsid w:val="00F52ED6"/>
    <w:rsid w:val="00F53088"/>
    <w:rsid w:val="00F53BC1"/>
    <w:rsid w:val="00F56D14"/>
    <w:rsid w:val="00F57F46"/>
    <w:rsid w:val="00F616F9"/>
    <w:rsid w:val="00F62732"/>
    <w:rsid w:val="00F644B3"/>
    <w:rsid w:val="00F71F13"/>
    <w:rsid w:val="00F734E1"/>
    <w:rsid w:val="00F73BEC"/>
    <w:rsid w:val="00F745A7"/>
    <w:rsid w:val="00F81852"/>
    <w:rsid w:val="00F81953"/>
    <w:rsid w:val="00F826D8"/>
    <w:rsid w:val="00F90B44"/>
    <w:rsid w:val="00F9151F"/>
    <w:rsid w:val="00F917DC"/>
    <w:rsid w:val="00F92840"/>
    <w:rsid w:val="00F933E3"/>
    <w:rsid w:val="00F941D6"/>
    <w:rsid w:val="00F94995"/>
    <w:rsid w:val="00F94CA3"/>
    <w:rsid w:val="00F954C6"/>
    <w:rsid w:val="00F97026"/>
    <w:rsid w:val="00F973D4"/>
    <w:rsid w:val="00F97B62"/>
    <w:rsid w:val="00FA0FE0"/>
    <w:rsid w:val="00FA21DF"/>
    <w:rsid w:val="00FA3069"/>
    <w:rsid w:val="00FA3F80"/>
    <w:rsid w:val="00FA40BE"/>
    <w:rsid w:val="00FA5540"/>
    <w:rsid w:val="00FA5ECA"/>
    <w:rsid w:val="00FA7A48"/>
    <w:rsid w:val="00FB0610"/>
    <w:rsid w:val="00FB0997"/>
    <w:rsid w:val="00FB33D0"/>
    <w:rsid w:val="00FB3709"/>
    <w:rsid w:val="00FB43FE"/>
    <w:rsid w:val="00FB5359"/>
    <w:rsid w:val="00FB6FC4"/>
    <w:rsid w:val="00FB7D69"/>
    <w:rsid w:val="00FC0404"/>
    <w:rsid w:val="00FC0ED5"/>
    <w:rsid w:val="00FC1406"/>
    <w:rsid w:val="00FC361E"/>
    <w:rsid w:val="00FC3BB2"/>
    <w:rsid w:val="00FC500F"/>
    <w:rsid w:val="00FC52F7"/>
    <w:rsid w:val="00FC640A"/>
    <w:rsid w:val="00FC7975"/>
    <w:rsid w:val="00FD1F11"/>
    <w:rsid w:val="00FD38BE"/>
    <w:rsid w:val="00FD69C5"/>
    <w:rsid w:val="00FD6EBE"/>
    <w:rsid w:val="00FD72B7"/>
    <w:rsid w:val="00FD7862"/>
    <w:rsid w:val="00FE0A2E"/>
    <w:rsid w:val="00FE184A"/>
    <w:rsid w:val="00FE6817"/>
    <w:rsid w:val="00FE77F9"/>
    <w:rsid w:val="00FF0496"/>
    <w:rsid w:val="00FF0AA4"/>
    <w:rsid w:val="00FF0ACE"/>
    <w:rsid w:val="00FF54C5"/>
    <w:rsid w:val="00FF574F"/>
    <w:rsid w:val="00FF61AF"/>
    <w:rsid w:val="00FF7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A4806"/>
  <w15:docId w15:val="{CDCB676E-ED25-408F-9108-9710AADB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1A59"/>
    <w:pPr>
      <w:spacing w:after="0" w:line="240" w:lineRule="auto"/>
    </w:pPr>
    <w:rPr>
      <w:rFonts w:eastAsia="Times New Roman" w:cs="Times New Roman"/>
      <w:szCs w:val="24"/>
      <w:lang w:eastAsia="lv-LV"/>
    </w:rPr>
  </w:style>
  <w:style w:type="paragraph" w:styleId="Virsraksts1">
    <w:name w:val="heading 1"/>
    <w:basedOn w:val="Parasts"/>
    <w:next w:val="Parasts"/>
    <w:link w:val="Virsraksts1Rakstz"/>
    <w:uiPriority w:val="9"/>
    <w:qFormat/>
    <w:rsid w:val="00FD72B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349F3"/>
    <w:pPr>
      <w:ind w:left="720"/>
      <w:contextualSpacing/>
    </w:pPr>
  </w:style>
  <w:style w:type="paragraph" w:customStyle="1" w:styleId="naisf">
    <w:name w:val="naisf"/>
    <w:basedOn w:val="Parasts"/>
    <w:uiPriority w:val="99"/>
    <w:rsid w:val="004349F3"/>
    <w:pPr>
      <w:spacing w:before="75" w:after="75"/>
      <w:ind w:firstLine="375"/>
      <w:jc w:val="both"/>
    </w:pPr>
  </w:style>
  <w:style w:type="paragraph" w:styleId="Galvene">
    <w:name w:val="header"/>
    <w:basedOn w:val="Parasts"/>
    <w:link w:val="GalveneRakstz"/>
    <w:uiPriority w:val="99"/>
    <w:unhideWhenUsed/>
    <w:rsid w:val="006A27BB"/>
    <w:pPr>
      <w:tabs>
        <w:tab w:val="center" w:pos="4153"/>
        <w:tab w:val="right" w:pos="8306"/>
      </w:tabs>
    </w:pPr>
    <w:rPr>
      <w:rFonts w:eastAsiaTheme="minorHAnsi" w:cstheme="minorBidi"/>
      <w:szCs w:val="22"/>
      <w:lang w:eastAsia="en-US"/>
    </w:rPr>
  </w:style>
  <w:style w:type="character" w:customStyle="1" w:styleId="GalveneRakstz">
    <w:name w:val="Galvene Rakstz."/>
    <w:basedOn w:val="Noklusjumarindkopasfonts"/>
    <w:link w:val="Galvene"/>
    <w:uiPriority w:val="99"/>
    <w:rsid w:val="006A27BB"/>
  </w:style>
  <w:style w:type="paragraph" w:styleId="Kjene">
    <w:name w:val="footer"/>
    <w:basedOn w:val="Parasts"/>
    <w:link w:val="KjeneRakstz"/>
    <w:uiPriority w:val="99"/>
    <w:unhideWhenUsed/>
    <w:rsid w:val="00200887"/>
    <w:pPr>
      <w:tabs>
        <w:tab w:val="center" w:pos="4153"/>
        <w:tab w:val="right" w:pos="8306"/>
      </w:tabs>
    </w:pPr>
  </w:style>
  <w:style w:type="character" w:customStyle="1" w:styleId="KjeneRakstz">
    <w:name w:val="Kājene Rakstz."/>
    <w:basedOn w:val="Noklusjumarindkopasfonts"/>
    <w:link w:val="Kjene"/>
    <w:uiPriority w:val="99"/>
    <w:rsid w:val="00200887"/>
    <w:rPr>
      <w:rFonts w:eastAsia="Times New Roman" w:cs="Times New Roman"/>
      <w:szCs w:val="24"/>
      <w:lang w:eastAsia="lv-LV"/>
    </w:rPr>
  </w:style>
  <w:style w:type="paragraph" w:styleId="Balonteksts">
    <w:name w:val="Balloon Text"/>
    <w:basedOn w:val="Parasts"/>
    <w:link w:val="BalontekstsRakstz"/>
    <w:uiPriority w:val="99"/>
    <w:semiHidden/>
    <w:unhideWhenUsed/>
    <w:rsid w:val="00E44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4367"/>
    <w:rPr>
      <w:rFonts w:ascii="Segoe UI" w:eastAsia="Times New Roman" w:hAnsi="Segoe UI" w:cs="Segoe UI"/>
      <w:sz w:val="18"/>
      <w:szCs w:val="18"/>
      <w:lang w:eastAsia="lv-LV"/>
    </w:rPr>
  </w:style>
  <w:style w:type="character" w:styleId="Hipersaite">
    <w:name w:val="Hyperlink"/>
    <w:basedOn w:val="Noklusjumarindkopasfonts"/>
    <w:uiPriority w:val="99"/>
    <w:unhideWhenUsed/>
    <w:rsid w:val="003B1DB5"/>
    <w:rPr>
      <w:color w:val="0563C1" w:themeColor="hyperlink"/>
      <w:u w:val="single"/>
    </w:rPr>
  </w:style>
  <w:style w:type="character" w:styleId="Komentraatsauce">
    <w:name w:val="annotation reference"/>
    <w:basedOn w:val="Noklusjumarindkopasfonts"/>
    <w:uiPriority w:val="99"/>
    <w:semiHidden/>
    <w:unhideWhenUsed/>
    <w:rsid w:val="00716EE2"/>
    <w:rPr>
      <w:sz w:val="16"/>
      <w:szCs w:val="16"/>
    </w:rPr>
  </w:style>
  <w:style w:type="paragraph" w:styleId="Komentrateksts">
    <w:name w:val="annotation text"/>
    <w:basedOn w:val="Parasts"/>
    <w:link w:val="KomentratekstsRakstz"/>
    <w:uiPriority w:val="99"/>
    <w:unhideWhenUsed/>
    <w:rsid w:val="00716EE2"/>
    <w:rPr>
      <w:sz w:val="20"/>
      <w:szCs w:val="20"/>
    </w:rPr>
  </w:style>
  <w:style w:type="character" w:customStyle="1" w:styleId="KomentratekstsRakstz">
    <w:name w:val="Komentāra teksts Rakstz."/>
    <w:basedOn w:val="Noklusjumarindkopasfonts"/>
    <w:link w:val="Komentrateksts"/>
    <w:uiPriority w:val="99"/>
    <w:rsid w:val="00716EE2"/>
    <w:rPr>
      <w:rFonts w:eastAsia="Times New Roman" w:cs="Times New Roman"/>
      <w:sz w:val="20"/>
      <w:szCs w:val="20"/>
      <w:lang w:eastAsia="lv-LV"/>
    </w:rPr>
  </w:style>
  <w:style w:type="paragraph" w:styleId="Vresteksts">
    <w:name w:val="footnote text"/>
    <w:aliases w:val="Footnote Text Char1 Char,Footnote Text Char Char1 Char,Footnote Text Char2 Char Char1 Char,Footnote Text Char1 Char Char Char Char,Footnote Text Char Char Char Char Char Char,Char Char Char Char Char Char Char Char,fn"/>
    <w:basedOn w:val="Parasts"/>
    <w:link w:val="VrestekstsRakstz"/>
    <w:uiPriority w:val="99"/>
    <w:unhideWhenUsed/>
    <w:rsid w:val="00154D28"/>
    <w:rPr>
      <w:sz w:val="20"/>
      <w:szCs w:val="20"/>
    </w:rPr>
  </w:style>
  <w:style w:type="character" w:customStyle="1" w:styleId="VrestekstsRakstz">
    <w:name w:val="Vēres teksts Rakstz."/>
    <w:aliases w:val="Footnote Text Char1 Char Rakstz.,Footnote Text Char Char1 Char Rakstz.,Footnote Text Char2 Char Char1 Char Rakstz.,Footnote Text Char1 Char Char Char Char Rakstz.,Footnote Text Char Char Char Char Char Char Rakstz.,fn Rakstz."/>
    <w:basedOn w:val="Noklusjumarindkopasfonts"/>
    <w:link w:val="Vresteksts"/>
    <w:uiPriority w:val="99"/>
    <w:rsid w:val="00154D28"/>
    <w:rPr>
      <w:rFonts w:eastAsia="Times New Roman" w:cs="Times New Roman"/>
      <w:sz w:val="20"/>
      <w:szCs w:val="20"/>
      <w:lang w:eastAsia="lv-LV"/>
    </w:rPr>
  </w:style>
  <w:style w:type="character" w:styleId="Vresatsauce">
    <w:name w:val="footnote reference"/>
    <w:aliases w:val="(NECG) Footnote Reference,FC,fr"/>
    <w:basedOn w:val="Noklusjumarindkopasfonts"/>
    <w:uiPriority w:val="99"/>
    <w:unhideWhenUsed/>
    <w:rsid w:val="00154D28"/>
    <w:rPr>
      <w:vertAlign w:val="superscript"/>
    </w:rPr>
  </w:style>
  <w:style w:type="paragraph" w:customStyle="1" w:styleId="Peckartas">
    <w:name w:val="Pec kartas"/>
    <w:basedOn w:val="Sarakstarindkopa"/>
    <w:qFormat/>
    <w:rsid w:val="00301A99"/>
    <w:pPr>
      <w:numPr>
        <w:numId w:val="1"/>
      </w:numPr>
    </w:pPr>
    <w:rPr>
      <w:b/>
      <w:sz w:val="22"/>
      <w:lang w:eastAsia="en-US"/>
    </w:rPr>
  </w:style>
  <w:style w:type="paragraph" w:customStyle="1" w:styleId="Stilstabulaa">
    <w:name w:val="Stilstabulaa"/>
    <w:basedOn w:val="Parasts"/>
    <w:qFormat/>
    <w:rsid w:val="00301A99"/>
    <w:pPr>
      <w:jc w:val="both"/>
    </w:pPr>
    <w:rPr>
      <w:sz w:val="22"/>
      <w:lang w:eastAsia="en-US"/>
    </w:rPr>
  </w:style>
  <w:style w:type="paragraph" w:styleId="Komentratma">
    <w:name w:val="annotation subject"/>
    <w:basedOn w:val="Komentrateksts"/>
    <w:next w:val="Komentrateksts"/>
    <w:link w:val="KomentratmaRakstz"/>
    <w:uiPriority w:val="99"/>
    <w:semiHidden/>
    <w:unhideWhenUsed/>
    <w:rsid w:val="00DB3F99"/>
    <w:rPr>
      <w:b/>
      <w:bCs/>
    </w:rPr>
  </w:style>
  <w:style w:type="character" w:customStyle="1" w:styleId="KomentratmaRakstz">
    <w:name w:val="Komentāra tēma Rakstz."/>
    <w:basedOn w:val="KomentratekstsRakstz"/>
    <w:link w:val="Komentratma"/>
    <w:uiPriority w:val="99"/>
    <w:semiHidden/>
    <w:rsid w:val="00DB3F99"/>
    <w:rPr>
      <w:rFonts w:eastAsia="Times New Roman" w:cs="Times New Roman"/>
      <w:b/>
      <w:bCs/>
      <w:sz w:val="20"/>
      <w:szCs w:val="20"/>
      <w:lang w:eastAsia="lv-LV"/>
    </w:rPr>
  </w:style>
  <w:style w:type="character" w:styleId="Izmantotahipersaite">
    <w:name w:val="FollowedHyperlink"/>
    <w:basedOn w:val="Noklusjumarindkopasfonts"/>
    <w:uiPriority w:val="99"/>
    <w:semiHidden/>
    <w:unhideWhenUsed/>
    <w:rsid w:val="00B940BC"/>
    <w:rPr>
      <w:color w:val="954F72" w:themeColor="followedHyperlink"/>
      <w:u w:val="single"/>
    </w:rPr>
  </w:style>
  <w:style w:type="paragraph" w:styleId="Prskatjums">
    <w:name w:val="Revision"/>
    <w:hidden/>
    <w:uiPriority w:val="99"/>
    <w:semiHidden/>
    <w:rsid w:val="00DA767F"/>
    <w:pPr>
      <w:spacing w:after="0" w:line="240" w:lineRule="auto"/>
    </w:pPr>
    <w:rPr>
      <w:rFonts w:eastAsia="Times New Roman" w:cs="Times New Roman"/>
      <w:szCs w:val="24"/>
      <w:lang w:eastAsia="lv-LV"/>
    </w:rPr>
  </w:style>
  <w:style w:type="paragraph" w:customStyle="1" w:styleId="Default">
    <w:name w:val="Default"/>
    <w:rsid w:val="003D7416"/>
    <w:pPr>
      <w:autoSpaceDE w:val="0"/>
      <w:autoSpaceDN w:val="0"/>
      <w:adjustRightInd w:val="0"/>
      <w:spacing w:after="0" w:line="240" w:lineRule="auto"/>
    </w:pPr>
    <w:rPr>
      <w:rFonts w:ascii="Tahoma" w:hAnsi="Tahoma" w:cs="Tahoma"/>
      <w:color w:val="000000"/>
      <w:szCs w:val="24"/>
    </w:rPr>
  </w:style>
  <w:style w:type="character" w:customStyle="1" w:styleId="Virsraksts1Rakstz">
    <w:name w:val="Virsraksts 1 Rakstz."/>
    <w:basedOn w:val="Noklusjumarindkopasfonts"/>
    <w:link w:val="Virsraksts1"/>
    <w:uiPriority w:val="9"/>
    <w:rsid w:val="00FD72B7"/>
    <w:rPr>
      <w:rFonts w:asciiTheme="majorHAnsi" w:eastAsiaTheme="majorEastAsia" w:hAnsiTheme="majorHAnsi" w:cstheme="majorBidi"/>
      <w:color w:val="2E74B5" w:themeColor="accent1" w:themeShade="BF"/>
      <w:sz w:val="32"/>
      <w:szCs w:val="32"/>
    </w:rPr>
  </w:style>
  <w:style w:type="character" w:styleId="Lappusesnumurs">
    <w:name w:val="page number"/>
    <w:rsid w:val="008A5730"/>
    <w:rPr>
      <w:sz w:val="20"/>
    </w:rPr>
  </w:style>
  <w:style w:type="paragraph" w:styleId="Paraststmeklis">
    <w:name w:val="Normal (Web)"/>
    <w:basedOn w:val="Parasts"/>
    <w:rsid w:val="00EF2226"/>
    <w:pPr>
      <w:spacing w:before="100" w:beforeAutospacing="1" w:after="100" w:afterAutospacing="1"/>
    </w:pPr>
  </w:style>
  <w:style w:type="character" w:customStyle="1" w:styleId="normaltextrun1">
    <w:name w:val="normaltextrun1"/>
    <w:basedOn w:val="Noklusjumarindkopasfonts"/>
    <w:rsid w:val="00181AF9"/>
  </w:style>
  <w:style w:type="character" w:customStyle="1" w:styleId="Neatrisintapieminana1">
    <w:name w:val="Neatrisināta pieminēšana1"/>
    <w:basedOn w:val="Noklusjumarindkopasfonts"/>
    <w:uiPriority w:val="99"/>
    <w:semiHidden/>
    <w:unhideWhenUsed/>
    <w:rsid w:val="00C307AA"/>
    <w:rPr>
      <w:color w:val="605E5C"/>
      <w:shd w:val="clear" w:color="auto" w:fill="E1DFDD"/>
    </w:rPr>
  </w:style>
  <w:style w:type="character" w:styleId="Neatrisintapieminana">
    <w:name w:val="Unresolved Mention"/>
    <w:basedOn w:val="Noklusjumarindkopasfonts"/>
    <w:uiPriority w:val="99"/>
    <w:semiHidden/>
    <w:unhideWhenUsed/>
    <w:rsid w:val="00AF5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497">
      <w:bodyDiv w:val="1"/>
      <w:marLeft w:val="0"/>
      <w:marRight w:val="0"/>
      <w:marTop w:val="0"/>
      <w:marBottom w:val="0"/>
      <w:divBdr>
        <w:top w:val="none" w:sz="0" w:space="0" w:color="auto"/>
        <w:left w:val="none" w:sz="0" w:space="0" w:color="auto"/>
        <w:bottom w:val="none" w:sz="0" w:space="0" w:color="auto"/>
        <w:right w:val="none" w:sz="0" w:space="0" w:color="auto"/>
      </w:divBdr>
    </w:div>
    <w:div w:id="222059067">
      <w:bodyDiv w:val="1"/>
      <w:marLeft w:val="0"/>
      <w:marRight w:val="0"/>
      <w:marTop w:val="0"/>
      <w:marBottom w:val="0"/>
      <w:divBdr>
        <w:top w:val="none" w:sz="0" w:space="0" w:color="auto"/>
        <w:left w:val="none" w:sz="0" w:space="0" w:color="auto"/>
        <w:bottom w:val="none" w:sz="0" w:space="0" w:color="auto"/>
        <w:right w:val="none" w:sz="0" w:space="0" w:color="auto"/>
      </w:divBdr>
    </w:div>
    <w:div w:id="301039553">
      <w:bodyDiv w:val="1"/>
      <w:marLeft w:val="0"/>
      <w:marRight w:val="0"/>
      <w:marTop w:val="0"/>
      <w:marBottom w:val="0"/>
      <w:divBdr>
        <w:top w:val="none" w:sz="0" w:space="0" w:color="auto"/>
        <w:left w:val="none" w:sz="0" w:space="0" w:color="auto"/>
        <w:bottom w:val="none" w:sz="0" w:space="0" w:color="auto"/>
        <w:right w:val="none" w:sz="0" w:space="0" w:color="auto"/>
      </w:divBdr>
    </w:div>
    <w:div w:id="319623149">
      <w:bodyDiv w:val="1"/>
      <w:marLeft w:val="0"/>
      <w:marRight w:val="0"/>
      <w:marTop w:val="0"/>
      <w:marBottom w:val="0"/>
      <w:divBdr>
        <w:top w:val="none" w:sz="0" w:space="0" w:color="auto"/>
        <w:left w:val="none" w:sz="0" w:space="0" w:color="auto"/>
        <w:bottom w:val="none" w:sz="0" w:space="0" w:color="auto"/>
        <w:right w:val="none" w:sz="0" w:space="0" w:color="auto"/>
      </w:divBdr>
    </w:div>
    <w:div w:id="373389468">
      <w:bodyDiv w:val="1"/>
      <w:marLeft w:val="0"/>
      <w:marRight w:val="0"/>
      <w:marTop w:val="0"/>
      <w:marBottom w:val="0"/>
      <w:divBdr>
        <w:top w:val="none" w:sz="0" w:space="0" w:color="auto"/>
        <w:left w:val="none" w:sz="0" w:space="0" w:color="auto"/>
        <w:bottom w:val="none" w:sz="0" w:space="0" w:color="auto"/>
        <w:right w:val="none" w:sz="0" w:space="0" w:color="auto"/>
      </w:divBdr>
    </w:div>
    <w:div w:id="382026107">
      <w:bodyDiv w:val="1"/>
      <w:marLeft w:val="0"/>
      <w:marRight w:val="0"/>
      <w:marTop w:val="0"/>
      <w:marBottom w:val="0"/>
      <w:divBdr>
        <w:top w:val="none" w:sz="0" w:space="0" w:color="auto"/>
        <w:left w:val="none" w:sz="0" w:space="0" w:color="auto"/>
        <w:bottom w:val="none" w:sz="0" w:space="0" w:color="auto"/>
        <w:right w:val="none" w:sz="0" w:space="0" w:color="auto"/>
      </w:divBdr>
    </w:div>
    <w:div w:id="400712558">
      <w:bodyDiv w:val="1"/>
      <w:marLeft w:val="0"/>
      <w:marRight w:val="0"/>
      <w:marTop w:val="0"/>
      <w:marBottom w:val="0"/>
      <w:divBdr>
        <w:top w:val="none" w:sz="0" w:space="0" w:color="auto"/>
        <w:left w:val="none" w:sz="0" w:space="0" w:color="auto"/>
        <w:bottom w:val="none" w:sz="0" w:space="0" w:color="auto"/>
        <w:right w:val="none" w:sz="0" w:space="0" w:color="auto"/>
      </w:divBdr>
    </w:div>
    <w:div w:id="434638798">
      <w:bodyDiv w:val="1"/>
      <w:marLeft w:val="0"/>
      <w:marRight w:val="0"/>
      <w:marTop w:val="0"/>
      <w:marBottom w:val="0"/>
      <w:divBdr>
        <w:top w:val="none" w:sz="0" w:space="0" w:color="auto"/>
        <w:left w:val="none" w:sz="0" w:space="0" w:color="auto"/>
        <w:bottom w:val="none" w:sz="0" w:space="0" w:color="auto"/>
        <w:right w:val="none" w:sz="0" w:space="0" w:color="auto"/>
      </w:divBdr>
    </w:div>
    <w:div w:id="446775480">
      <w:bodyDiv w:val="1"/>
      <w:marLeft w:val="0"/>
      <w:marRight w:val="0"/>
      <w:marTop w:val="0"/>
      <w:marBottom w:val="0"/>
      <w:divBdr>
        <w:top w:val="none" w:sz="0" w:space="0" w:color="auto"/>
        <w:left w:val="none" w:sz="0" w:space="0" w:color="auto"/>
        <w:bottom w:val="none" w:sz="0" w:space="0" w:color="auto"/>
        <w:right w:val="none" w:sz="0" w:space="0" w:color="auto"/>
      </w:divBdr>
    </w:div>
    <w:div w:id="453982932">
      <w:bodyDiv w:val="1"/>
      <w:marLeft w:val="0"/>
      <w:marRight w:val="0"/>
      <w:marTop w:val="0"/>
      <w:marBottom w:val="0"/>
      <w:divBdr>
        <w:top w:val="none" w:sz="0" w:space="0" w:color="auto"/>
        <w:left w:val="none" w:sz="0" w:space="0" w:color="auto"/>
        <w:bottom w:val="none" w:sz="0" w:space="0" w:color="auto"/>
        <w:right w:val="none" w:sz="0" w:space="0" w:color="auto"/>
      </w:divBdr>
    </w:div>
    <w:div w:id="577133086">
      <w:bodyDiv w:val="1"/>
      <w:marLeft w:val="0"/>
      <w:marRight w:val="0"/>
      <w:marTop w:val="0"/>
      <w:marBottom w:val="0"/>
      <w:divBdr>
        <w:top w:val="none" w:sz="0" w:space="0" w:color="auto"/>
        <w:left w:val="none" w:sz="0" w:space="0" w:color="auto"/>
        <w:bottom w:val="none" w:sz="0" w:space="0" w:color="auto"/>
        <w:right w:val="none" w:sz="0" w:space="0" w:color="auto"/>
      </w:divBdr>
    </w:div>
    <w:div w:id="664939851">
      <w:bodyDiv w:val="1"/>
      <w:marLeft w:val="0"/>
      <w:marRight w:val="0"/>
      <w:marTop w:val="0"/>
      <w:marBottom w:val="0"/>
      <w:divBdr>
        <w:top w:val="none" w:sz="0" w:space="0" w:color="auto"/>
        <w:left w:val="none" w:sz="0" w:space="0" w:color="auto"/>
        <w:bottom w:val="none" w:sz="0" w:space="0" w:color="auto"/>
        <w:right w:val="none" w:sz="0" w:space="0" w:color="auto"/>
      </w:divBdr>
    </w:div>
    <w:div w:id="808474602">
      <w:bodyDiv w:val="1"/>
      <w:marLeft w:val="0"/>
      <w:marRight w:val="0"/>
      <w:marTop w:val="0"/>
      <w:marBottom w:val="0"/>
      <w:divBdr>
        <w:top w:val="none" w:sz="0" w:space="0" w:color="auto"/>
        <w:left w:val="none" w:sz="0" w:space="0" w:color="auto"/>
        <w:bottom w:val="none" w:sz="0" w:space="0" w:color="auto"/>
        <w:right w:val="none" w:sz="0" w:space="0" w:color="auto"/>
      </w:divBdr>
    </w:div>
    <w:div w:id="838078021">
      <w:bodyDiv w:val="1"/>
      <w:marLeft w:val="0"/>
      <w:marRight w:val="0"/>
      <w:marTop w:val="0"/>
      <w:marBottom w:val="0"/>
      <w:divBdr>
        <w:top w:val="none" w:sz="0" w:space="0" w:color="auto"/>
        <w:left w:val="none" w:sz="0" w:space="0" w:color="auto"/>
        <w:bottom w:val="none" w:sz="0" w:space="0" w:color="auto"/>
        <w:right w:val="none" w:sz="0" w:space="0" w:color="auto"/>
      </w:divBdr>
    </w:div>
    <w:div w:id="866063741">
      <w:bodyDiv w:val="1"/>
      <w:marLeft w:val="0"/>
      <w:marRight w:val="0"/>
      <w:marTop w:val="0"/>
      <w:marBottom w:val="0"/>
      <w:divBdr>
        <w:top w:val="none" w:sz="0" w:space="0" w:color="auto"/>
        <w:left w:val="none" w:sz="0" w:space="0" w:color="auto"/>
        <w:bottom w:val="none" w:sz="0" w:space="0" w:color="auto"/>
        <w:right w:val="none" w:sz="0" w:space="0" w:color="auto"/>
      </w:divBdr>
      <w:divsChild>
        <w:div w:id="1685478604">
          <w:marLeft w:val="0"/>
          <w:marRight w:val="0"/>
          <w:marTop w:val="0"/>
          <w:marBottom w:val="0"/>
          <w:divBdr>
            <w:top w:val="none" w:sz="0" w:space="0" w:color="auto"/>
            <w:left w:val="none" w:sz="0" w:space="0" w:color="auto"/>
            <w:bottom w:val="none" w:sz="0" w:space="0" w:color="auto"/>
            <w:right w:val="none" w:sz="0" w:space="0" w:color="auto"/>
          </w:divBdr>
          <w:divsChild>
            <w:div w:id="853035349">
              <w:marLeft w:val="0"/>
              <w:marRight w:val="0"/>
              <w:marTop w:val="0"/>
              <w:marBottom w:val="0"/>
              <w:divBdr>
                <w:top w:val="none" w:sz="0" w:space="0" w:color="auto"/>
                <w:left w:val="none" w:sz="0" w:space="0" w:color="auto"/>
                <w:bottom w:val="none" w:sz="0" w:space="0" w:color="auto"/>
                <w:right w:val="none" w:sz="0" w:space="0" w:color="auto"/>
              </w:divBdr>
              <w:divsChild>
                <w:div w:id="1742943697">
                  <w:marLeft w:val="0"/>
                  <w:marRight w:val="0"/>
                  <w:marTop w:val="0"/>
                  <w:marBottom w:val="0"/>
                  <w:divBdr>
                    <w:top w:val="none" w:sz="0" w:space="0" w:color="auto"/>
                    <w:left w:val="none" w:sz="0" w:space="0" w:color="auto"/>
                    <w:bottom w:val="none" w:sz="0" w:space="0" w:color="auto"/>
                    <w:right w:val="none" w:sz="0" w:space="0" w:color="auto"/>
                  </w:divBdr>
                  <w:divsChild>
                    <w:div w:id="52394402">
                      <w:marLeft w:val="0"/>
                      <w:marRight w:val="0"/>
                      <w:marTop w:val="0"/>
                      <w:marBottom w:val="0"/>
                      <w:divBdr>
                        <w:top w:val="none" w:sz="0" w:space="0" w:color="auto"/>
                        <w:left w:val="none" w:sz="0" w:space="0" w:color="auto"/>
                        <w:bottom w:val="none" w:sz="0" w:space="0" w:color="auto"/>
                        <w:right w:val="none" w:sz="0" w:space="0" w:color="auto"/>
                      </w:divBdr>
                      <w:divsChild>
                        <w:div w:id="1035883048">
                          <w:marLeft w:val="0"/>
                          <w:marRight w:val="0"/>
                          <w:marTop w:val="0"/>
                          <w:marBottom w:val="0"/>
                          <w:divBdr>
                            <w:top w:val="none" w:sz="0" w:space="0" w:color="auto"/>
                            <w:left w:val="none" w:sz="0" w:space="0" w:color="auto"/>
                            <w:bottom w:val="none" w:sz="0" w:space="0" w:color="auto"/>
                            <w:right w:val="none" w:sz="0" w:space="0" w:color="auto"/>
                          </w:divBdr>
                          <w:divsChild>
                            <w:div w:id="46459114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550352">
      <w:bodyDiv w:val="1"/>
      <w:marLeft w:val="0"/>
      <w:marRight w:val="0"/>
      <w:marTop w:val="0"/>
      <w:marBottom w:val="0"/>
      <w:divBdr>
        <w:top w:val="none" w:sz="0" w:space="0" w:color="auto"/>
        <w:left w:val="none" w:sz="0" w:space="0" w:color="auto"/>
        <w:bottom w:val="none" w:sz="0" w:space="0" w:color="auto"/>
        <w:right w:val="none" w:sz="0" w:space="0" w:color="auto"/>
      </w:divBdr>
    </w:div>
    <w:div w:id="994071084">
      <w:bodyDiv w:val="1"/>
      <w:marLeft w:val="0"/>
      <w:marRight w:val="0"/>
      <w:marTop w:val="0"/>
      <w:marBottom w:val="0"/>
      <w:divBdr>
        <w:top w:val="none" w:sz="0" w:space="0" w:color="auto"/>
        <w:left w:val="none" w:sz="0" w:space="0" w:color="auto"/>
        <w:bottom w:val="none" w:sz="0" w:space="0" w:color="auto"/>
        <w:right w:val="none" w:sz="0" w:space="0" w:color="auto"/>
      </w:divBdr>
    </w:div>
    <w:div w:id="1021316399">
      <w:bodyDiv w:val="1"/>
      <w:marLeft w:val="0"/>
      <w:marRight w:val="0"/>
      <w:marTop w:val="0"/>
      <w:marBottom w:val="0"/>
      <w:divBdr>
        <w:top w:val="none" w:sz="0" w:space="0" w:color="auto"/>
        <w:left w:val="none" w:sz="0" w:space="0" w:color="auto"/>
        <w:bottom w:val="none" w:sz="0" w:space="0" w:color="auto"/>
        <w:right w:val="none" w:sz="0" w:space="0" w:color="auto"/>
      </w:divBdr>
    </w:div>
    <w:div w:id="1093236317">
      <w:bodyDiv w:val="1"/>
      <w:marLeft w:val="0"/>
      <w:marRight w:val="0"/>
      <w:marTop w:val="0"/>
      <w:marBottom w:val="0"/>
      <w:divBdr>
        <w:top w:val="none" w:sz="0" w:space="0" w:color="auto"/>
        <w:left w:val="none" w:sz="0" w:space="0" w:color="auto"/>
        <w:bottom w:val="none" w:sz="0" w:space="0" w:color="auto"/>
        <w:right w:val="none" w:sz="0" w:space="0" w:color="auto"/>
      </w:divBdr>
    </w:div>
    <w:div w:id="1134104944">
      <w:bodyDiv w:val="1"/>
      <w:marLeft w:val="0"/>
      <w:marRight w:val="0"/>
      <w:marTop w:val="0"/>
      <w:marBottom w:val="0"/>
      <w:divBdr>
        <w:top w:val="none" w:sz="0" w:space="0" w:color="auto"/>
        <w:left w:val="none" w:sz="0" w:space="0" w:color="auto"/>
        <w:bottom w:val="none" w:sz="0" w:space="0" w:color="auto"/>
        <w:right w:val="none" w:sz="0" w:space="0" w:color="auto"/>
      </w:divBdr>
    </w:div>
    <w:div w:id="1147357005">
      <w:bodyDiv w:val="1"/>
      <w:marLeft w:val="0"/>
      <w:marRight w:val="0"/>
      <w:marTop w:val="0"/>
      <w:marBottom w:val="0"/>
      <w:divBdr>
        <w:top w:val="none" w:sz="0" w:space="0" w:color="auto"/>
        <w:left w:val="none" w:sz="0" w:space="0" w:color="auto"/>
        <w:bottom w:val="none" w:sz="0" w:space="0" w:color="auto"/>
        <w:right w:val="none" w:sz="0" w:space="0" w:color="auto"/>
      </w:divBdr>
    </w:div>
    <w:div w:id="1220439447">
      <w:bodyDiv w:val="1"/>
      <w:marLeft w:val="0"/>
      <w:marRight w:val="0"/>
      <w:marTop w:val="0"/>
      <w:marBottom w:val="0"/>
      <w:divBdr>
        <w:top w:val="none" w:sz="0" w:space="0" w:color="auto"/>
        <w:left w:val="none" w:sz="0" w:space="0" w:color="auto"/>
        <w:bottom w:val="none" w:sz="0" w:space="0" w:color="auto"/>
        <w:right w:val="none" w:sz="0" w:space="0" w:color="auto"/>
      </w:divBdr>
    </w:div>
    <w:div w:id="1344555766">
      <w:bodyDiv w:val="1"/>
      <w:marLeft w:val="0"/>
      <w:marRight w:val="0"/>
      <w:marTop w:val="0"/>
      <w:marBottom w:val="0"/>
      <w:divBdr>
        <w:top w:val="none" w:sz="0" w:space="0" w:color="auto"/>
        <w:left w:val="none" w:sz="0" w:space="0" w:color="auto"/>
        <w:bottom w:val="none" w:sz="0" w:space="0" w:color="auto"/>
        <w:right w:val="none" w:sz="0" w:space="0" w:color="auto"/>
      </w:divBdr>
    </w:div>
    <w:div w:id="1555845033">
      <w:bodyDiv w:val="1"/>
      <w:marLeft w:val="0"/>
      <w:marRight w:val="0"/>
      <w:marTop w:val="0"/>
      <w:marBottom w:val="0"/>
      <w:divBdr>
        <w:top w:val="none" w:sz="0" w:space="0" w:color="auto"/>
        <w:left w:val="none" w:sz="0" w:space="0" w:color="auto"/>
        <w:bottom w:val="none" w:sz="0" w:space="0" w:color="auto"/>
        <w:right w:val="none" w:sz="0" w:space="0" w:color="auto"/>
      </w:divBdr>
    </w:div>
    <w:div w:id="1606031988">
      <w:bodyDiv w:val="1"/>
      <w:marLeft w:val="0"/>
      <w:marRight w:val="0"/>
      <w:marTop w:val="0"/>
      <w:marBottom w:val="0"/>
      <w:divBdr>
        <w:top w:val="none" w:sz="0" w:space="0" w:color="auto"/>
        <w:left w:val="none" w:sz="0" w:space="0" w:color="auto"/>
        <w:bottom w:val="none" w:sz="0" w:space="0" w:color="auto"/>
        <w:right w:val="none" w:sz="0" w:space="0" w:color="auto"/>
      </w:divBdr>
    </w:div>
    <w:div w:id="1692871800">
      <w:bodyDiv w:val="1"/>
      <w:marLeft w:val="0"/>
      <w:marRight w:val="0"/>
      <w:marTop w:val="0"/>
      <w:marBottom w:val="0"/>
      <w:divBdr>
        <w:top w:val="none" w:sz="0" w:space="0" w:color="auto"/>
        <w:left w:val="none" w:sz="0" w:space="0" w:color="auto"/>
        <w:bottom w:val="none" w:sz="0" w:space="0" w:color="auto"/>
        <w:right w:val="none" w:sz="0" w:space="0" w:color="auto"/>
      </w:divBdr>
    </w:div>
    <w:div w:id="1779526243">
      <w:bodyDiv w:val="1"/>
      <w:marLeft w:val="0"/>
      <w:marRight w:val="0"/>
      <w:marTop w:val="0"/>
      <w:marBottom w:val="0"/>
      <w:divBdr>
        <w:top w:val="none" w:sz="0" w:space="0" w:color="auto"/>
        <w:left w:val="none" w:sz="0" w:space="0" w:color="auto"/>
        <w:bottom w:val="none" w:sz="0" w:space="0" w:color="auto"/>
        <w:right w:val="none" w:sz="0" w:space="0" w:color="auto"/>
      </w:divBdr>
    </w:div>
    <w:div w:id="1831679159">
      <w:bodyDiv w:val="1"/>
      <w:marLeft w:val="0"/>
      <w:marRight w:val="0"/>
      <w:marTop w:val="0"/>
      <w:marBottom w:val="0"/>
      <w:divBdr>
        <w:top w:val="none" w:sz="0" w:space="0" w:color="auto"/>
        <w:left w:val="none" w:sz="0" w:space="0" w:color="auto"/>
        <w:bottom w:val="none" w:sz="0" w:space="0" w:color="auto"/>
        <w:right w:val="none" w:sz="0" w:space="0" w:color="auto"/>
      </w:divBdr>
    </w:div>
    <w:div w:id="1832333448">
      <w:bodyDiv w:val="1"/>
      <w:marLeft w:val="0"/>
      <w:marRight w:val="0"/>
      <w:marTop w:val="0"/>
      <w:marBottom w:val="0"/>
      <w:divBdr>
        <w:top w:val="none" w:sz="0" w:space="0" w:color="auto"/>
        <w:left w:val="none" w:sz="0" w:space="0" w:color="auto"/>
        <w:bottom w:val="none" w:sz="0" w:space="0" w:color="auto"/>
        <w:right w:val="none" w:sz="0" w:space="0" w:color="auto"/>
      </w:divBdr>
    </w:div>
    <w:div w:id="1959946537">
      <w:bodyDiv w:val="1"/>
      <w:marLeft w:val="0"/>
      <w:marRight w:val="0"/>
      <w:marTop w:val="0"/>
      <w:marBottom w:val="0"/>
      <w:divBdr>
        <w:top w:val="none" w:sz="0" w:space="0" w:color="auto"/>
        <w:left w:val="none" w:sz="0" w:space="0" w:color="auto"/>
        <w:bottom w:val="none" w:sz="0" w:space="0" w:color="auto"/>
        <w:right w:val="none" w:sz="0" w:space="0" w:color="auto"/>
      </w:divBdr>
    </w:div>
    <w:div w:id="20972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52C5-D5AD-4153-B35B-2ADF95BA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5663</Words>
  <Characters>3229</Characters>
  <Application>Microsoft Office Word</Application>
  <DocSecurity>0</DocSecurity>
  <Lines>26</Lines>
  <Paragraphs>17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Rīgas Dome</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Sece</dc:creator>
  <cp:keywords/>
  <dc:description/>
  <cp:lastModifiedBy>Liene Rasa</cp:lastModifiedBy>
  <cp:revision>3</cp:revision>
  <cp:lastPrinted>2020-06-19T11:11:00Z</cp:lastPrinted>
  <dcterms:created xsi:type="dcterms:W3CDTF">2026-07-16T11:22:00Z</dcterms:created>
  <dcterms:modified xsi:type="dcterms:W3CDTF">2026-07-16T11:25:00Z</dcterms:modified>
</cp:coreProperties>
</file>