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8A94" w14:textId="77777777" w:rsidR="00E83B9A" w:rsidRDefault="00E83B9A" w:rsidP="00437D53">
      <w:pPr>
        <w:jc w:val="right"/>
        <w:rPr>
          <w:rFonts w:ascii="Arial Narrow" w:hAnsi="Arial Narrow"/>
          <w:i/>
          <w:sz w:val="16"/>
          <w:szCs w:val="16"/>
        </w:rPr>
      </w:pPr>
      <w:bookmarkStart w:id="0" w:name="OLE_LINK1"/>
      <w:r>
        <w:rPr>
          <w:rFonts w:ascii="Arial Narrow" w:eastAsia="Arial Narrow" w:hAnsi="Arial Narrow" w:cs="Arial Narrow"/>
          <w:i/>
          <w:sz w:val="16"/>
          <w:szCs w:val="16"/>
          <w:lang w:bidi="lv-LV"/>
        </w:rPr>
        <w:t>(logotips)</w:t>
      </w:r>
    </w:p>
    <w:p w14:paraId="0F7F3D77" w14:textId="64A5893B" w:rsidR="00437D53" w:rsidRPr="00BB39AB" w:rsidRDefault="00437D53" w:rsidP="00437D53">
      <w:pPr>
        <w:jc w:val="right"/>
        <w:rPr>
          <w:rFonts w:ascii="Arial Narrow" w:hAnsi="Arial Narrow"/>
          <w:i/>
          <w:sz w:val="16"/>
          <w:szCs w:val="16"/>
        </w:rPr>
      </w:pPr>
      <w:r w:rsidRPr="00735AB6">
        <w:rPr>
          <w:rFonts w:ascii="Arial Narrow" w:eastAsia="Arial Narrow" w:hAnsi="Arial Narrow" w:cs="Arial Narrow"/>
          <w:sz w:val="16"/>
          <w:szCs w:val="16"/>
          <w:lang w:bidi="lv-LV"/>
        </w:rPr>
        <w:t>Elektroenerģijas pārvades sistēmu operatoru Eiropas tīkls</w:t>
      </w:r>
    </w:p>
    <w:p w14:paraId="1F65C9D6" w14:textId="77777777" w:rsidR="00437D53" w:rsidRPr="00A83E2E" w:rsidRDefault="00437D53" w:rsidP="00437D53">
      <w:pPr>
        <w:jc w:val="right"/>
        <w:rPr>
          <w:rFonts w:ascii="Arial Narrow" w:hAnsi="Arial Narrow"/>
          <w:sz w:val="20"/>
          <w:szCs w:val="20"/>
        </w:rPr>
      </w:pPr>
    </w:p>
    <w:p w14:paraId="1EFCE049" w14:textId="77777777" w:rsidR="00437D53" w:rsidRPr="00A83E2E" w:rsidRDefault="00437D53" w:rsidP="00437D53">
      <w:pPr>
        <w:jc w:val="right"/>
        <w:rPr>
          <w:rFonts w:ascii="Arial Narrow" w:hAnsi="Arial Narrow"/>
          <w:sz w:val="20"/>
          <w:szCs w:val="20"/>
        </w:rPr>
      </w:pPr>
    </w:p>
    <w:p w14:paraId="663521ED" w14:textId="77777777" w:rsidR="00437D53" w:rsidRPr="00A83E2E" w:rsidRDefault="00437D53" w:rsidP="00437D53">
      <w:pPr>
        <w:jc w:val="right"/>
        <w:rPr>
          <w:rFonts w:ascii="Arial Narrow" w:hAnsi="Arial Narrow"/>
          <w:sz w:val="20"/>
          <w:szCs w:val="20"/>
        </w:rPr>
      </w:pPr>
    </w:p>
    <w:p w14:paraId="1F637BA5" w14:textId="77777777" w:rsidR="00437D53" w:rsidRPr="00A83E2E" w:rsidRDefault="00437D53" w:rsidP="00437D53">
      <w:pPr>
        <w:jc w:val="right"/>
        <w:rPr>
          <w:rFonts w:ascii="Arial Narrow" w:hAnsi="Arial Narrow"/>
          <w:sz w:val="20"/>
          <w:szCs w:val="20"/>
        </w:rPr>
      </w:pPr>
    </w:p>
    <w:p w14:paraId="468B325F" w14:textId="77777777" w:rsidR="00437D53" w:rsidRPr="00A83E2E" w:rsidRDefault="00437D53" w:rsidP="00437D53">
      <w:pPr>
        <w:jc w:val="right"/>
        <w:rPr>
          <w:rFonts w:ascii="Arial Narrow" w:hAnsi="Arial Narrow"/>
          <w:sz w:val="20"/>
          <w:szCs w:val="20"/>
        </w:rPr>
      </w:pPr>
    </w:p>
    <w:p w14:paraId="651840A6" w14:textId="77777777" w:rsidR="00437D53" w:rsidRPr="00A83E2E" w:rsidRDefault="00437D53" w:rsidP="00437D53">
      <w:pPr>
        <w:jc w:val="right"/>
        <w:rPr>
          <w:rFonts w:ascii="Arial Narrow" w:hAnsi="Arial Narrow"/>
          <w:sz w:val="20"/>
          <w:szCs w:val="20"/>
        </w:rPr>
      </w:pPr>
    </w:p>
    <w:p w14:paraId="6E750DD9" w14:textId="77777777" w:rsidR="00437D53" w:rsidRPr="00A83E2E" w:rsidRDefault="00437D53" w:rsidP="00437D53">
      <w:pPr>
        <w:jc w:val="right"/>
        <w:rPr>
          <w:rFonts w:ascii="Arial Narrow" w:hAnsi="Arial Narrow"/>
          <w:sz w:val="20"/>
          <w:szCs w:val="20"/>
        </w:rPr>
      </w:pPr>
    </w:p>
    <w:p w14:paraId="1BA12D1A" w14:textId="77777777" w:rsidR="00437D53" w:rsidRPr="00A83E2E" w:rsidRDefault="00437D53" w:rsidP="00437D53">
      <w:pPr>
        <w:jc w:val="right"/>
        <w:rPr>
          <w:rFonts w:ascii="Arial Narrow" w:hAnsi="Arial Narrow"/>
          <w:sz w:val="20"/>
          <w:szCs w:val="20"/>
        </w:rPr>
      </w:pPr>
    </w:p>
    <w:p w14:paraId="114C0E3F" w14:textId="77777777" w:rsidR="00437D53" w:rsidRPr="00A83E2E" w:rsidRDefault="00437D53" w:rsidP="00437D53">
      <w:pPr>
        <w:jc w:val="right"/>
        <w:rPr>
          <w:rFonts w:ascii="Arial Narrow" w:hAnsi="Arial Narrow"/>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516"/>
      </w:tblGrid>
      <w:tr w:rsidR="00437D53" w14:paraId="55DBC1DB" w14:textId="77777777" w:rsidTr="00741F88">
        <w:tc>
          <w:tcPr>
            <w:tcW w:w="9576" w:type="dxa"/>
            <w:tcBorders>
              <w:top w:val="single" w:sz="12" w:space="0" w:color="auto"/>
            </w:tcBorders>
          </w:tcPr>
          <w:p w14:paraId="2DCB4B86" w14:textId="72C663AE" w:rsidR="00437D53" w:rsidRPr="00BB39AB" w:rsidRDefault="00437D53" w:rsidP="00741F88">
            <w:pPr>
              <w:jc w:val="center"/>
              <w:rPr>
                <w:rFonts w:ascii="Arial" w:hAnsi="Arial" w:cs="Arial"/>
                <w:b/>
                <w:sz w:val="36"/>
                <w:szCs w:val="36"/>
              </w:rPr>
            </w:pPr>
            <w:r w:rsidRPr="00BB39AB">
              <w:rPr>
                <w:rFonts w:ascii="Arial" w:eastAsia="Arial" w:hAnsi="Arial" w:cs="Arial"/>
                <w:b/>
                <w:sz w:val="36"/>
                <w:szCs w:val="36"/>
                <w:lang w:bidi="lv-LV"/>
              </w:rPr>
              <w:t>Visu PSO priekšlikums metodikai, ar kuru aprēķina plānoto apmaiņu, kas izriet no vienotas nākamās dienas tirgus sasaistīšanas, saskaņā ar 2015. gada 24. jūlija Komisijas Regulas (ES) Nr. 2015/1222, ar ko izveido jaudas piešķiršanas un pārslodzes vadības vadlīnijas, 43. pantu</w:t>
            </w:r>
          </w:p>
          <w:p w14:paraId="6B1D15D7" w14:textId="77777777" w:rsidR="00437D53" w:rsidRDefault="00437D53" w:rsidP="00741F88">
            <w:pPr>
              <w:rPr>
                <w:rFonts w:ascii="Arial" w:hAnsi="Arial" w:cs="Arial"/>
                <w:sz w:val="36"/>
                <w:szCs w:val="36"/>
              </w:rPr>
            </w:pPr>
          </w:p>
        </w:tc>
      </w:tr>
      <w:tr w:rsidR="00437D53" w14:paraId="1866082B" w14:textId="77777777" w:rsidTr="00741F88">
        <w:tc>
          <w:tcPr>
            <w:tcW w:w="9576" w:type="dxa"/>
          </w:tcPr>
          <w:p w14:paraId="6AA8C5FF" w14:textId="77777777" w:rsidR="00437D53" w:rsidRDefault="00437D53" w:rsidP="00741F88">
            <w:pPr>
              <w:rPr>
                <w:rFonts w:ascii="Times New Roman" w:hAnsi="Times New Roman" w:cs="Times New Roman"/>
                <w:sz w:val="28"/>
                <w:szCs w:val="28"/>
              </w:rPr>
            </w:pPr>
          </w:p>
          <w:p w14:paraId="67C0C6DD" w14:textId="77777777" w:rsidR="00437D53" w:rsidRDefault="00437D53" w:rsidP="00741F88">
            <w:pPr>
              <w:rPr>
                <w:rFonts w:ascii="Times New Roman" w:hAnsi="Times New Roman" w:cs="Times New Roman"/>
                <w:sz w:val="28"/>
                <w:szCs w:val="28"/>
              </w:rPr>
            </w:pPr>
          </w:p>
          <w:p w14:paraId="6999F675" w14:textId="77777777" w:rsidR="00437D53" w:rsidRDefault="00437D53" w:rsidP="00741F88">
            <w:pPr>
              <w:rPr>
                <w:rFonts w:ascii="Times New Roman" w:hAnsi="Times New Roman" w:cs="Times New Roman"/>
                <w:sz w:val="28"/>
                <w:szCs w:val="28"/>
              </w:rPr>
            </w:pPr>
          </w:p>
          <w:p w14:paraId="5290CF1A" w14:textId="77777777" w:rsidR="00437D53" w:rsidRPr="00A83E2E" w:rsidRDefault="00437D53" w:rsidP="00741F88">
            <w:pPr>
              <w:rPr>
                <w:rFonts w:ascii="Times New Roman" w:hAnsi="Times New Roman" w:cs="Times New Roman"/>
                <w:sz w:val="28"/>
                <w:szCs w:val="28"/>
              </w:rPr>
            </w:pPr>
            <w:r w:rsidRPr="00A83E2E">
              <w:rPr>
                <w:rFonts w:ascii="Times New Roman" w:eastAsia="Times New Roman" w:hAnsi="Times New Roman" w:cs="Times New Roman"/>
                <w:sz w:val="28"/>
                <w:szCs w:val="28"/>
                <w:lang w:bidi="lv-LV"/>
              </w:rPr>
              <w:t>2018. gada 1. decembrī</w:t>
            </w:r>
          </w:p>
        </w:tc>
      </w:tr>
    </w:tbl>
    <w:p w14:paraId="1D54066E" w14:textId="77777777" w:rsidR="00437D53" w:rsidRPr="00EA40E2" w:rsidRDefault="00437D53" w:rsidP="00437D53">
      <w:pPr>
        <w:rPr>
          <w:rFonts w:ascii="Times New Roman" w:hAnsi="Times New Roman" w:cs="Times New Roman"/>
        </w:rPr>
      </w:pPr>
    </w:p>
    <w:p w14:paraId="3B877544" w14:textId="77777777" w:rsidR="00437D53" w:rsidRDefault="00437D53" w:rsidP="00437D53">
      <w:pPr>
        <w:widowControl/>
        <w:spacing w:after="160" w:line="259" w:lineRule="auto"/>
      </w:pPr>
      <w:r>
        <w:rPr>
          <w:lang w:bidi="lv-LV"/>
        </w:rPr>
        <w:br w:type="page"/>
      </w:r>
    </w:p>
    <w:sdt>
      <w:sdtPr>
        <w:rPr>
          <w:rFonts w:ascii="Courier New" w:eastAsia="Courier New" w:hAnsi="Courier New" w:cs="Courier New"/>
          <w:color w:val="000000"/>
          <w:sz w:val="24"/>
          <w:szCs w:val="24"/>
          <w:lang w:bidi="en-US"/>
        </w:rPr>
        <w:id w:val="-1461562170"/>
        <w:docPartObj>
          <w:docPartGallery w:val="Table of Contents"/>
          <w:docPartUnique/>
        </w:docPartObj>
      </w:sdtPr>
      <w:sdtEndPr>
        <w:rPr>
          <w:b/>
          <w:bCs/>
          <w:noProof/>
        </w:rPr>
      </w:sdtEndPr>
      <w:sdtContent>
        <w:p w14:paraId="0879A8CE" w14:textId="437401B1" w:rsidR="00DC1007" w:rsidRPr="00DC1007" w:rsidRDefault="00DC1007">
          <w:pPr>
            <w:pStyle w:val="TOCHeading"/>
            <w:rPr>
              <w:rFonts w:ascii="Times New Roman" w:hAnsi="Times New Roman" w:cs="Times New Roman"/>
              <w:sz w:val="22"/>
              <w:szCs w:val="22"/>
            </w:rPr>
          </w:pPr>
          <w:r w:rsidRPr="00DC1007">
            <w:rPr>
              <w:rFonts w:ascii="Times New Roman" w:eastAsia="Times New Roman" w:hAnsi="Times New Roman" w:cs="Times New Roman"/>
              <w:sz w:val="22"/>
              <w:szCs w:val="22"/>
              <w:lang w:bidi="lv-LV"/>
            </w:rPr>
            <w:t>Saturs</w:t>
          </w:r>
        </w:p>
        <w:p w14:paraId="5095093D" w14:textId="791D407B" w:rsidR="002D1E50" w:rsidRDefault="002D1E50">
          <w:pPr>
            <w:pStyle w:val="TOC1"/>
            <w:tabs>
              <w:tab w:val="right" w:leader="dot" w:pos="8290"/>
            </w:tabs>
            <w:rPr>
              <w:rFonts w:asciiTheme="minorHAnsi" w:eastAsiaTheme="minorEastAsia" w:hAnsiTheme="minorHAnsi" w:cstheme="minorBidi"/>
              <w:noProof/>
              <w:color w:val="auto"/>
              <w:sz w:val="22"/>
              <w:szCs w:val="22"/>
              <w:lang w:val="en-US" w:bidi="ar-SA"/>
            </w:rPr>
          </w:pPr>
          <w:r>
            <w:rPr>
              <w:rFonts w:eastAsia="Times New Roman" w:cs="Times New Roman"/>
              <w:b/>
              <w:noProof/>
              <w:sz w:val="22"/>
              <w:szCs w:val="22"/>
              <w:lang w:bidi="lv-LV"/>
            </w:rPr>
            <w:fldChar w:fldCharType="begin"/>
          </w:r>
          <w:r>
            <w:rPr>
              <w:rFonts w:eastAsia="Times New Roman" w:cs="Times New Roman"/>
              <w:b/>
              <w:noProof/>
              <w:sz w:val="22"/>
              <w:szCs w:val="22"/>
              <w:lang w:bidi="lv-LV"/>
            </w:rPr>
            <w:instrText xml:space="preserve"> TOC \o "1-3" \h \z \u </w:instrText>
          </w:r>
          <w:r>
            <w:rPr>
              <w:rFonts w:eastAsia="Times New Roman" w:cs="Times New Roman"/>
              <w:b/>
              <w:noProof/>
              <w:sz w:val="22"/>
              <w:szCs w:val="22"/>
              <w:lang w:bidi="lv-LV"/>
            </w:rPr>
            <w:fldChar w:fldCharType="separate"/>
          </w:r>
          <w:hyperlink w:anchor="_Toc346713" w:history="1">
            <w:r w:rsidRPr="00235FFE">
              <w:rPr>
                <w:rStyle w:val="Hyperlink"/>
                <w:noProof/>
                <w:lang w:bidi="lv-LV"/>
              </w:rPr>
              <w:t>tā kā</w:t>
            </w:r>
            <w:r>
              <w:rPr>
                <w:noProof/>
                <w:webHidden/>
              </w:rPr>
              <w:tab/>
            </w:r>
            <w:r>
              <w:rPr>
                <w:noProof/>
                <w:webHidden/>
              </w:rPr>
              <w:fldChar w:fldCharType="begin"/>
            </w:r>
            <w:r>
              <w:rPr>
                <w:noProof/>
                <w:webHidden/>
              </w:rPr>
              <w:instrText xml:space="preserve"> PAGEREF _Toc346713 \h </w:instrText>
            </w:r>
            <w:r>
              <w:rPr>
                <w:noProof/>
                <w:webHidden/>
              </w:rPr>
            </w:r>
            <w:r>
              <w:rPr>
                <w:noProof/>
                <w:webHidden/>
              </w:rPr>
              <w:fldChar w:fldCharType="separate"/>
            </w:r>
            <w:r>
              <w:rPr>
                <w:noProof/>
                <w:webHidden/>
              </w:rPr>
              <w:t>3</w:t>
            </w:r>
            <w:r>
              <w:rPr>
                <w:noProof/>
                <w:webHidden/>
              </w:rPr>
              <w:fldChar w:fldCharType="end"/>
            </w:r>
          </w:hyperlink>
        </w:p>
        <w:p w14:paraId="00903AB0" w14:textId="5B6FF17A"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4" w:history="1">
            <w:r w:rsidR="002D1E50" w:rsidRPr="00235FFE">
              <w:rPr>
                <w:rStyle w:val="Hyperlink"/>
                <w:noProof/>
                <w:lang w:bidi="lv-LV"/>
              </w:rPr>
              <w:t>1. pants. Priekšmets un piemērošanas joma</w:t>
            </w:r>
            <w:r w:rsidR="002D1E50">
              <w:rPr>
                <w:noProof/>
                <w:webHidden/>
              </w:rPr>
              <w:tab/>
            </w:r>
            <w:r w:rsidR="002D1E50">
              <w:rPr>
                <w:noProof/>
                <w:webHidden/>
              </w:rPr>
              <w:fldChar w:fldCharType="begin"/>
            </w:r>
            <w:r w:rsidR="002D1E50">
              <w:rPr>
                <w:noProof/>
                <w:webHidden/>
              </w:rPr>
              <w:instrText xml:space="preserve"> PAGEREF _Toc346714 \h </w:instrText>
            </w:r>
            <w:r w:rsidR="002D1E50">
              <w:rPr>
                <w:noProof/>
                <w:webHidden/>
              </w:rPr>
            </w:r>
            <w:r w:rsidR="002D1E50">
              <w:rPr>
                <w:noProof/>
                <w:webHidden/>
              </w:rPr>
              <w:fldChar w:fldCharType="separate"/>
            </w:r>
            <w:r w:rsidR="002D1E50">
              <w:rPr>
                <w:noProof/>
                <w:webHidden/>
              </w:rPr>
              <w:t>5</w:t>
            </w:r>
            <w:r w:rsidR="002D1E50">
              <w:rPr>
                <w:noProof/>
                <w:webHidden/>
              </w:rPr>
              <w:fldChar w:fldCharType="end"/>
            </w:r>
          </w:hyperlink>
        </w:p>
        <w:p w14:paraId="38281707" w14:textId="4F2E86D0"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5" w:history="1">
            <w:r w:rsidR="002D1E50" w:rsidRPr="00235FFE">
              <w:rPr>
                <w:rStyle w:val="Hyperlink"/>
                <w:noProof/>
                <w:lang w:bidi="lv-LV"/>
              </w:rPr>
              <w:t>2. pants. Definīcijas un interpretācija</w:t>
            </w:r>
            <w:r w:rsidR="002D1E50">
              <w:rPr>
                <w:noProof/>
                <w:webHidden/>
              </w:rPr>
              <w:tab/>
            </w:r>
            <w:r w:rsidR="002D1E50">
              <w:rPr>
                <w:noProof/>
                <w:webHidden/>
              </w:rPr>
              <w:fldChar w:fldCharType="begin"/>
            </w:r>
            <w:r w:rsidR="002D1E50">
              <w:rPr>
                <w:noProof/>
                <w:webHidden/>
              </w:rPr>
              <w:instrText xml:space="preserve"> PAGEREF _Toc346715 \h </w:instrText>
            </w:r>
            <w:r w:rsidR="002D1E50">
              <w:rPr>
                <w:noProof/>
                <w:webHidden/>
              </w:rPr>
            </w:r>
            <w:r w:rsidR="002D1E50">
              <w:rPr>
                <w:noProof/>
                <w:webHidden/>
              </w:rPr>
              <w:fldChar w:fldCharType="separate"/>
            </w:r>
            <w:r w:rsidR="002D1E50">
              <w:rPr>
                <w:noProof/>
                <w:webHidden/>
              </w:rPr>
              <w:t>6</w:t>
            </w:r>
            <w:r w:rsidR="002D1E50">
              <w:rPr>
                <w:noProof/>
                <w:webHidden/>
              </w:rPr>
              <w:fldChar w:fldCharType="end"/>
            </w:r>
          </w:hyperlink>
        </w:p>
        <w:p w14:paraId="75083E02" w14:textId="19FE6069"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6" w:history="1">
            <w:r w:rsidR="002D1E50" w:rsidRPr="00235FFE">
              <w:rPr>
                <w:rStyle w:val="Hyperlink"/>
                <w:noProof/>
                <w:lang w:bidi="lv-LV"/>
              </w:rPr>
              <w:t>3. pants. Plānotās apmaiņas aprēķinātājs</w:t>
            </w:r>
            <w:r w:rsidR="002D1E50">
              <w:rPr>
                <w:noProof/>
                <w:webHidden/>
              </w:rPr>
              <w:tab/>
            </w:r>
            <w:r w:rsidR="002D1E50">
              <w:rPr>
                <w:noProof/>
                <w:webHidden/>
              </w:rPr>
              <w:fldChar w:fldCharType="begin"/>
            </w:r>
            <w:r w:rsidR="002D1E50">
              <w:rPr>
                <w:noProof/>
                <w:webHidden/>
              </w:rPr>
              <w:instrText xml:space="preserve"> PAGEREF _Toc346716 \h </w:instrText>
            </w:r>
            <w:r w:rsidR="002D1E50">
              <w:rPr>
                <w:noProof/>
                <w:webHidden/>
              </w:rPr>
            </w:r>
            <w:r w:rsidR="002D1E50">
              <w:rPr>
                <w:noProof/>
                <w:webHidden/>
              </w:rPr>
              <w:fldChar w:fldCharType="separate"/>
            </w:r>
            <w:r w:rsidR="002D1E50">
              <w:rPr>
                <w:noProof/>
                <w:webHidden/>
              </w:rPr>
              <w:t>6</w:t>
            </w:r>
            <w:r w:rsidR="002D1E50">
              <w:rPr>
                <w:noProof/>
                <w:webHidden/>
              </w:rPr>
              <w:fldChar w:fldCharType="end"/>
            </w:r>
          </w:hyperlink>
        </w:p>
        <w:p w14:paraId="583FCF8E" w14:textId="29479CCD"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7" w:history="1">
            <w:r w:rsidR="002D1E50" w:rsidRPr="00235FFE">
              <w:rPr>
                <w:rStyle w:val="Hyperlink"/>
                <w:noProof/>
                <w:lang w:bidi="lv-LV"/>
              </w:rPr>
              <w:t>4. pants. Plānotās apmaiņas aprēķināšanas vispārīgie principi</w:t>
            </w:r>
            <w:r w:rsidR="002D1E50">
              <w:rPr>
                <w:noProof/>
                <w:webHidden/>
              </w:rPr>
              <w:tab/>
            </w:r>
            <w:r w:rsidR="002D1E50">
              <w:rPr>
                <w:noProof/>
                <w:webHidden/>
              </w:rPr>
              <w:fldChar w:fldCharType="begin"/>
            </w:r>
            <w:r w:rsidR="002D1E50">
              <w:rPr>
                <w:noProof/>
                <w:webHidden/>
              </w:rPr>
              <w:instrText xml:space="preserve"> PAGEREF _Toc346717 \h </w:instrText>
            </w:r>
            <w:r w:rsidR="002D1E50">
              <w:rPr>
                <w:noProof/>
                <w:webHidden/>
              </w:rPr>
            </w:r>
            <w:r w:rsidR="002D1E50">
              <w:rPr>
                <w:noProof/>
                <w:webHidden/>
              </w:rPr>
              <w:fldChar w:fldCharType="separate"/>
            </w:r>
            <w:r w:rsidR="002D1E50">
              <w:rPr>
                <w:noProof/>
                <w:webHidden/>
              </w:rPr>
              <w:t>7</w:t>
            </w:r>
            <w:r w:rsidR="002D1E50">
              <w:rPr>
                <w:noProof/>
                <w:webHidden/>
              </w:rPr>
              <w:fldChar w:fldCharType="end"/>
            </w:r>
          </w:hyperlink>
        </w:p>
        <w:p w14:paraId="230A6C1B" w14:textId="2DCE1BDE"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8" w:history="1">
            <w:r w:rsidR="002D1E50" w:rsidRPr="00235FFE">
              <w:rPr>
                <w:rStyle w:val="Hyperlink"/>
                <w:noProof/>
                <w:lang w:bidi="lv-LV"/>
              </w:rPr>
              <w:t xml:space="preserve">5. pants. Metodika, ar kuru aprēķina no </w:t>
            </w:r>
            <w:r w:rsidR="002D1E50" w:rsidRPr="00235FFE">
              <w:rPr>
                <w:rStyle w:val="Hyperlink"/>
                <w:i/>
                <w:noProof/>
                <w:lang w:bidi="lv-LV"/>
              </w:rPr>
              <w:t>SDAC</w:t>
            </w:r>
            <w:r w:rsidR="002D1E50" w:rsidRPr="00235FFE">
              <w:rPr>
                <w:rStyle w:val="Hyperlink"/>
                <w:noProof/>
                <w:lang w:bidi="lv-LV"/>
              </w:rPr>
              <w:t xml:space="preserve"> izrietošo plānoto apmaiņu starp tirdzniecības zonām, grafiku sagatavošanas zonām un NETO tirdzniecības platformām</w:t>
            </w:r>
            <w:r w:rsidR="002D1E50">
              <w:rPr>
                <w:noProof/>
                <w:webHidden/>
              </w:rPr>
              <w:tab/>
            </w:r>
            <w:r w:rsidR="002D1E50">
              <w:rPr>
                <w:noProof/>
                <w:webHidden/>
              </w:rPr>
              <w:fldChar w:fldCharType="begin"/>
            </w:r>
            <w:r w:rsidR="002D1E50">
              <w:rPr>
                <w:noProof/>
                <w:webHidden/>
              </w:rPr>
              <w:instrText xml:space="preserve"> PAGEREF _Toc346718 \h </w:instrText>
            </w:r>
            <w:r w:rsidR="002D1E50">
              <w:rPr>
                <w:noProof/>
                <w:webHidden/>
              </w:rPr>
            </w:r>
            <w:r w:rsidR="002D1E50">
              <w:rPr>
                <w:noProof/>
                <w:webHidden/>
              </w:rPr>
              <w:fldChar w:fldCharType="separate"/>
            </w:r>
            <w:r w:rsidR="002D1E50">
              <w:rPr>
                <w:noProof/>
                <w:webHidden/>
              </w:rPr>
              <w:t>8</w:t>
            </w:r>
            <w:r w:rsidR="002D1E50">
              <w:rPr>
                <w:noProof/>
                <w:webHidden/>
              </w:rPr>
              <w:fldChar w:fldCharType="end"/>
            </w:r>
          </w:hyperlink>
        </w:p>
        <w:p w14:paraId="61E20267" w14:textId="150D6492"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19" w:history="1">
            <w:r w:rsidR="002D1E50" w:rsidRPr="00235FFE">
              <w:rPr>
                <w:rStyle w:val="Hyperlink"/>
                <w:noProof/>
                <w:lang w:bidi="lv-LV"/>
              </w:rPr>
              <w:t>6. pants. Plānotās apmaiņas aprēķināšana starp tirdzniecības zonām</w:t>
            </w:r>
            <w:r w:rsidR="002D1E50">
              <w:rPr>
                <w:noProof/>
                <w:webHidden/>
              </w:rPr>
              <w:tab/>
            </w:r>
            <w:r w:rsidR="002D1E50">
              <w:rPr>
                <w:noProof/>
                <w:webHidden/>
              </w:rPr>
              <w:fldChar w:fldCharType="begin"/>
            </w:r>
            <w:r w:rsidR="002D1E50">
              <w:rPr>
                <w:noProof/>
                <w:webHidden/>
              </w:rPr>
              <w:instrText xml:space="preserve"> PAGEREF _Toc346719 \h </w:instrText>
            </w:r>
            <w:r w:rsidR="002D1E50">
              <w:rPr>
                <w:noProof/>
                <w:webHidden/>
              </w:rPr>
            </w:r>
            <w:r w:rsidR="002D1E50">
              <w:rPr>
                <w:noProof/>
                <w:webHidden/>
              </w:rPr>
              <w:fldChar w:fldCharType="separate"/>
            </w:r>
            <w:r w:rsidR="002D1E50">
              <w:rPr>
                <w:noProof/>
                <w:webHidden/>
              </w:rPr>
              <w:t>8</w:t>
            </w:r>
            <w:r w:rsidR="002D1E50">
              <w:rPr>
                <w:noProof/>
                <w:webHidden/>
              </w:rPr>
              <w:fldChar w:fldCharType="end"/>
            </w:r>
          </w:hyperlink>
        </w:p>
        <w:p w14:paraId="368304E8" w14:textId="71D03EF4"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20" w:history="1">
            <w:r w:rsidR="002D1E50" w:rsidRPr="00235FFE">
              <w:rPr>
                <w:rStyle w:val="Hyperlink"/>
                <w:noProof/>
                <w:lang w:bidi="lv-LV"/>
              </w:rPr>
              <w:t>7. pants. Plānotās apmaiņas aprēķināšana starp grafiku sagatavošanas zonām</w:t>
            </w:r>
            <w:r w:rsidR="002D1E50">
              <w:rPr>
                <w:noProof/>
                <w:webHidden/>
              </w:rPr>
              <w:tab/>
            </w:r>
            <w:r w:rsidR="002D1E50">
              <w:rPr>
                <w:noProof/>
                <w:webHidden/>
              </w:rPr>
              <w:fldChar w:fldCharType="begin"/>
            </w:r>
            <w:r w:rsidR="002D1E50">
              <w:rPr>
                <w:noProof/>
                <w:webHidden/>
              </w:rPr>
              <w:instrText xml:space="preserve"> PAGEREF _Toc346720 \h </w:instrText>
            </w:r>
            <w:r w:rsidR="002D1E50">
              <w:rPr>
                <w:noProof/>
                <w:webHidden/>
              </w:rPr>
            </w:r>
            <w:r w:rsidR="002D1E50">
              <w:rPr>
                <w:noProof/>
                <w:webHidden/>
              </w:rPr>
              <w:fldChar w:fldCharType="separate"/>
            </w:r>
            <w:r w:rsidR="002D1E50">
              <w:rPr>
                <w:noProof/>
                <w:webHidden/>
              </w:rPr>
              <w:t>10</w:t>
            </w:r>
            <w:r w:rsidR="002D1E50">
              <w:rPr>
                <w:noProof/>
                <w:webHidden/>
              </w:rPr>
              <w:fldChar w:fldCharType="end"/>
            </w:r>
          </w:hyperlink>
        </w:p>
        <w:p w14:paraId="5B6009CD" w14:textId="7D73E107"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21" w:history="1">
            <w:r w:rsidR="002D1E50" w:rsidRPr="00235FFE">
              <w:rPr>
                <w:rStyle w:val="Hyperlink"/>
                <w:noProof/>
                <w:lang w:bidi="lv-LV"/>
              </w:rPr>
              <w:t>8. pants. Plānotās apmaiņas aprēķināšana starp NETO tirdzniecības platformām</w:t>
            </w:r>
            <w:r w:rsidR="002D1E50">
              <w:rPr>
                <w:noProof/>
                <w:webHidden/>
              </w:rPr>
              <w:tab/>
            </w:r>
            <w:r w:rsidR="002D1E50">
              <w:rPr>
                <w:noProof/>
                <w:webHidden/>
              </w:rPr>
              <w:fldChar w:fldCharType="begin"/>
            </w:r>
            <w:r w:rsidR="002D1E50">
              <w:rPr>
                <w:noProof/>
                <w:webHidden/>
              </w:rPr>
              <w:instrText xml:space="preserve"> PAGEREF _Toc346721 \h </w:instrText>
            </w:r>
            <w:r w:rsidR="002D1E50">
              <w:rPr>
                <w:noProof/>
                <w:webHidden/>
              </w:rPr>
            </w:r>
            <w:r w:rsidR="002D1E50">
              <w:rPr>
                <w:noProof/>
                <w:webHidden/>
              </w:rPr>
              <w:fldChar w:fldCharType="separate"/>
            </w:r>
            <w:r w:rsidR="002D1E50">
              <w:rPr>
                <w:noProof/>
                <w:webHidden/>
              </w:rPr>
              <w:t>11</w:t>
            </w:r>
            <w:r w:rsidR="002D1E50">
              <w:rPr>
                <w:noProof/>
                <w:webHidden/>
              </w:rPr>
              <w:fldChar w:fldCharType="end"/>
            </w:r>
          </w:hyperlink>
        </w:p>
        <w:p w14:paraId="0E64EF4B" w14:textId="59DF9F0E"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22" w:history="1">
            <w:r w:rsidR="002D1E50" w:rsidRPr="00235FFE">
              <w:rPr>
                <w:rStyle w:val="Hyperlink"/>
                <w:noProof/>
                <w:lang w:bidi="lv-LV"/>
              </w:rPr>
              <w:t xml:space="preserve">9. pants. </w:t>
            </w:r>
            <w:r w:rsidR="002D1E50" w:rsidRPr="00235FFE">
              <w:rPr>
                <w:rStyle w:val="Hyperlink"/>
                <w:i/>
                <w:noProof/>
                <w:lang w:bidi="lv-LV"/>
              </w:rPr>
              <w:t>DA SEC</w:t>
            </w:r>
            <w:r w:rsidR="002D1E50" w:rsidRPr="00235FFE">
              <w:rPr>
                <w:rStyle w:val="Hyperlink"/>
                <w:noProof/>
                <w:lang w:bidi="lv-LV"/>
              </w:rPr>
              <w:t xml:space="preserve"> metodikas īstenošana</w:t>
            </w:r>
            <w:r w:rsidR="002D1E50">
              <w:rPr>
                <w:noProof/>
                <w:webHidden/>
              </w:rPr>
              <w:tab/>
            </w:r>
            <w:r w:rsidR="002D1E50">
              <w:rPr>
                <w:noProof/>
                <w:webHidden/>
              </w:rPr>
              <w:fldChar w:fldCharType="begin"/>
            </w:r>
            <w:r w:rsidR="002D1E50">
              <w:rPr>
                <w:noProof/>
                <w:webHidden/>
              </w:rPr>
              <w:instrText xml:space="preserve"> PAGEREF _Toc346722 \h </w:instrText>
            </w:r>
            <w:r w:rsidR="002D1E50">
              <w:rPr>
                <w:noProof/>
                <w:webHidden/>
              </w:rPr>
            </w:r>
            <w:r w:rsidR="002D1E50">
              <w:rPr>
                <w:noProof/>
                <w:webHidden/>
              </w:rPr>
              <w:fldChar w:fldCharType="separate"/>
            </w:r>
            <w:r w:rsidR="002D1E50">
              <w:rPr>
                <w:noProof/>
                <w:webHidden/>
              </w:rPr>
              <w:t>12</w:t>
            </w:r>
            <w:r w:rsidR="002D1E50">
              <w:rPr>
                <w:noProof/>
                <w:webHidden/>
              </w:rPr>
              <w:fldChar w:fldCharType="end"/>
            </w:r>
          </w:hyperlink>
        </w:p>
        <w:p w14:paraId="513CC059" w14:textId="42F49EE2" w:rsidR="002D1E50" w:rsidRDefault="00EB2CFF">
          <w:pPr>
            <w:pStyle w:val="TOC1"/>
            <w:tabs>
              <w:tab w:val="right" w:leader="dot" w:pos="8290"/>
            </w:tabs>
            <w:rPr>
              <w:rFonts w:asciiTheme="minorHAnsi" w:eastAsiaTheme="minorEastAsia" w:hAnsiTheme="minorHAnsi" w:cstheme="minorBidi"/>
              <w:noProof/>
              <w:color w:val="auto"/>
              <w:sz w:val="22"/>
              <w:szCs w:val="22"/>
              <w:lang w:val="en-US" w:bidi="ar-SA"/>
            </w:rPr>
          </w:pPr>
          <w:hyperlink w:anchor="_Toc346723" w:history="1">
            <w:r w:rsidR="002D1E50" w:rsidRPr="00235FFE">
              <w:rPr>
                <w:rStyle w:val="Hyperlink"/>
                <w:noProof/>
                <w:lang w:bidi="lv-LV"/>
              </w:rPr>
              <w:t>10. pants. Valoda</w:t>
            </w:r>
            <w:r w:rsidR="002D1E50">
              <w:rPr>
                <w:noProof/>
                <w:webHidden/>
              </w:rPr>
              <w:tab/>
            </w:r>
            <w:r w:rsidR="002D1E50">
              <w:rPr>
                <w:noProof/>
                <w:webHidden/>
              </w:rPr>
              <w:fldChar w:fldCharType="begin"/>
            </w:r>
            <w:r w:rsidR="002D1E50">
              <w:rPr>
                <w:noProof/>
                <w:webHidden/>
              </w:rPr>
              <w:instrText xml:space="preserve"> PAGEREF _Toc346723 \h </w:instrText>
            </w:r>
            <w:r w:rsidR="002D1E50">
              <w:rPr>
                <w:noProof/>
                <w:webHidden/>
              </w:rPr>
            </w:r>
            <w:r w:rsidR="002D1E50">
              <w:rPr>
                <w:noProof/>
                <w:webHidden/>
              </w:rPr>
              <w:fldChar w:fldCharType="separate"/>
            </w:r>
            <w:r w:rsidR="002D1E50">
              <w:rPr>
                <w:noProof/>
                <w:webHidden/>
              </w:rPr>
              <w:t>12</w:t>
            </w:r>
            <w:r w:rsidR="002D1E50">
              <w:rPr>
                <w:noProof/>
                <w:webHidden/>
              </w:rPr>
              <w:fldChar w:fldCharType="end"/>
            </w:r>
          </w:hyperlink>
        </w:p>
        <w:p w14:paraId="3E4D9EF5" w14:textId="409288C0" w:rsidR="00DC1007" w:rsidRDefault="002D1E50">
          <w:r>
            <w:rPr>
              <w:rFonts w:ascii="Times New Roman" w:eastAsia="Times New Roman" w:hAnsi="Times New Roman" w:cs="Times New Roman"/>
              <w:b/>
              <w:noProof/>
              <w:sz w:val="22"/>
              <w:szCs w:val="22"/>
              <w:lang w:bidi="lv-LV"/>
            </w:rPr>
            <w:fldChar w:fldCharType="end"/>
          </w:r>
        </w:p>
      </w:sdtContent>
    </w:sdt>
    <w:p w14:paraId="6520230A" w14:textId="520B6CB9" w:rsidR="00437D53" w:rsidRPr="00394C42" w:rsidRDefault="00437D53" w:rsidP="00DC1007">
      <w:pPr>
        <w:widowControl/>
        <w:spacing w:after="160" w:line="259" w:lineRule="auto"/>
        <w:rPr>
          <w:rFonts w:ascii="Times New Roman" w:hAnsi="Times New Roman" w:cs="Times New Roman"/>
          <w:sz w:val="22"/>
          <w:szCs w:val="22"/>
        </w:rPr>
      </w:pPr>
      <w:r>
        <w:rPr>
          <w:lang w:bidi="lv-LV"/>
        </w:rPr>
        <w:br w:type="page"/>
      </w:r>
      <w:bookmarkStart w:id="1" w:name="bookmark0"/>
      <w:r w:rsidRPr="00394C42">
        <w:rPr>
          <w:rFonts w:ascii="Times New Roman" w:eastAsia="Times New Roman" w:hAnsi="Times New Roman" w:cs="Times New Roman"/>
          <w:sz w:val="22"/>
          <w:szCs w:val="22"/>
          <w:lang w:bidi="lv-LV"/>
        </w:rPr>
        <w:lastRenderedPageBreak/>
        <w:t>Visi Pārvades sistēmu operatori, ņemot vērā turpmāk minēto:</w:t>
      </w:r>
      <w:bookmarkEnd w:id="1"/>
    </w:p>
    <w:p w14:paraId="1CED2F45" w14:textId="1B56DFAF" w:rsidR="00437D53" w:rsidRPr="00EA40E2" w:rsidRDefault="00437D53" w:rsidP="00437D53">
      <w:pPr>
        <w:pStyle w:val="Heading11"/>
        <w:keepNext/>
        <w:keepLines/>
        <w:shd w:val="clear" w:color="auto" w:fill="auto"/>
        <w:spacing w:before="240" w:line="240" w:lineRule="auto"/>
      </w:pPr>
      <w:bookmarkStart w:id="2" w:name="bookmark1"/>
      <w:bookmarkStart w:id="3" w:name="bookmark2"/>
      <w:bookmarkStart w:id="4" w:name="_Toc346713"/>
      <w:r w:rsidRPr="00EA40E2">
        <w:rPr>
          <w:lang w:bidi="lv-LV"/>
        </w:rPr>
        <w:t>tā kā</w:t>
      </w:r>
      <w:bookmarkEnd w:id="2"/>
      <w:bookmarkEnd w:id="3"/>
      <w:bookmarkEnd w:id="4"/>
    </w:p>
    <w:p w14:paraId="523B2E7A" w14:textId="77777777" w:rsidR="00437D53" w:rsidRDefault="00437D53" w:rsidP="00437D53">
      <w:pPr>
        <w:pStyle w:val="ListParagraph"/>
        <w:numPr>
          <w:ilvl w:val="0"/>
          <w:numId w:val="20"/>
        </w:numPr>
        <w:ind w:left="270" w:hanging="270"/>
        <w:jc w:val="both"/>
        <w:rPr>
          <w:rFonts w:ascii="Times New Roman" w:hAnsi="Times New Roman" w:cs="Times New Roman"/>
          <w:sz w:val="22"/>
          <w:szCs w:val="22"/>
        </w:rPr>
      </w:pPr>
      <w:r w:rsidRPr="00EA40E2">
        <w:rPr>
          <w:rFonts w:ascii="Times New Roman" w:eastAsia="Times New Roman" w:hAnsi="Times New Roman" w:cs="Times New Roman"/>
          <w:sz w:val="22"/>
          <w:szCs w:val="22"/>
          <w:lang w:bidi="lv-LV"/>
        </w:rPr>
        <w:t xml:space="preserve">Šis dokuments satur kopīgu priekšlikumu, ko ir izstrādājuši visi Pārvades sistēmu operatori (turpmāk tekstā – </w:t>
      </w:r>
      <w:r w:rsidRPr="00EA40E2">
        <w:rPr>
          <w:rFonts w:ascii="Times New Roman" w:eastAsia="Times New Roman" w:hAnsi="Times New Roman" w:cs="Times New Roman"/>
          <w:b/>
          <w:sz w:val="22"/>
          <w:szCs w:val="22"/>
          <w:lang w:bidi="lv-LV"/>
        </w:rPr>
        <w:t>"PSO"</w:t>
      </w:r>
      <w:r w:rsidRPr="00EA40E2">
        <w:rPr>
          <w:rFonts w:ascii="Times New Roman" w:eastAsia="Times New Roman" w:hAnsi="Times New Roman" w:cs="Times New Roman"/>
          <w:sz w:val="22"/>
          <w:szCs w:val="22"/>
          <w:lang w:bidi="lv-LV"/>
        </w:rPr>
        <w:t xml:space="preserve">), kuri plāno aprēķināt plānoto apmaiņu, kas izriet no vienotas nākamās dienas tirgus sasaistīšanas (turpmāk tekstā – </w:t>
      </w:r>
      <w:r w:rsidRPr="00EA40E2">
        <w:rPr>
          <w:rFonts w:ascii="Times New Roman" w:eastAsia="Times New Roman" w:hAnsi="Times New Roman" w:cs="Times New Roman"/>
          <w:b/>
          <w:sz w:val="22"/>
          <w:szCs w:val="22"/>
          <w:lang w:bidi="lv-LV"/>
        </w:rPr>
        <w:t>"SDAC"</w:t>
      </w:r>
      <w:r w:rsidRPr="00EA40E2">
        <w:rPr>
          <w:rFonts w:ascii="Times New Roman" w:eastAsia="Times New Roman" w:hAnsi="Times New Roman" w:cs="Times New Roman"/>
          <w:sz w:val="22"/>
          <w:szCs w:val="22"/>
          <w:lang w:bidi="lv-LV"/>
        </w:rPr>
        <w:t xml:space="preserve"> (no angļu val. –</w:t>
      </w:r>
      <w:r w:rsidRPr="00EA40E2">
        <w:rPr>
          <w:rFonts w:ascii="Times New Roman" w:eastAsia="Times New Roman" w:hAnsi="Times New Roman" w:cs="Times New Roman"/>
          <w:i/>
          <w:sz w:val="22"/>
          <w:szCs w:val="22"/>
          <w:lang w:bidi="lv-LV"/>
        </w:rPr>
        <w:t xml:space="preserve"> single day-ahead coupling</w:t>
      </w:r>
      <w:r w:rsidRPr="00EA40E2">
        <w:rPr>
          <w:rFonts w:ascii="Times New Roman" w:eastAsia="Times New Roman" w:hAnsi="Times New Roman" w:cs="Times New Roman"/>
          <w:sz w:val="22"/>
          <w:szCs w:val="22"/>
          <w:lang w:bidi="lv-LV"/>
        </w:rPr>
        <w:t xml:space="preserve">)). Dokuments paredz metodiku, ar kuru aprēķina plānoto apmaiņu, kas izriet no </w:t>
      </w:r>
      <w:r w:rsidRPr="00EA40E2">
        <w:rPr>
          <w:rFonts w:ascii="Times New Roman" w:eastAsia="Times New Roman" w:hAnsi="Times New Roman" w:cs="Times New Roman"/>
          <w:i/>
          <w:sz w:val="22"/>
          <w:szCs w:val="22"/>
          <w:lang w:bidi="lv-LV"/>
        </w:rPr>
        <w:t>SDAC</w:t>
      </w:r>
      <w:r w:rsidRPr="00EA40E2">
        <w:rPr>
          <w:rFonts w:ascii="Times New Roman" w:eastAsia="Times New Roman" w:hAnsi="Times New Roman" w:cs="Times New Roman"/>
          <w:sz w:val="22"/>
          <w:szCs w:val="22"/>
          <w:lang w:bidi="lv-LV"/>
        </w:rPr>
        <w:t xml:space="preserve"> (turpmāk tekstā – </w:t>
      </w:r>
      <w:r w:rsidRPr="00EA40E2">
        <w:rPr>
          <w:rFonts w:ascii="Times New Roman" w:eastAsia="Times New Roman" w:hAnsi="Times New Roman" w:cs="Times New Roman"/>
          <w:b/>
          <w:sz w:val="22"/>
          <w:szCs w:val="22"/>
          <w:lang w:bidi="lv-LV"/>
        </w:rPr>
        <w:t xml:space="preserve">"DA SEC metodika" </w:t>
      </w:r>
      <w:r w:rsidRPr="00EA40E2">
        <w:rPr>
          <w:rFonts w:ascii="Times New Roman" w:eastAsia="Times New Roman" w:hAnsi="Times New Roman" w:cs="Times New Roman"/>
          <w:sz w:val="22"/>
          <w:szCs w:val="22"/>
          <w:lang w:bidi="lv-LV"/>
        </w:rPr>
        <w:t xml:space="preserve">(no angļu val. – </w:t>
      </w:r>
      <w:r w:rsidRPr="00EA40E2">
        <w:rPr>
          <w:rFonts w:ascii="Times New Roman" w:eastAsia="Times New Roman" w:hAnsi="Times New Roman" w:cs="Times New Roman"/>
          <w:i/>
          <w:sz w:val="22"/>
          <w:szCs w:val="22"/>
          <w:lang w:bidi="lv-LV"/>
        </w:rPr>
        <w:t>day-ahead scheduled exchanges calculation</w:t>
      </w:r>
      <w:r w:rsidRPr="00EA40E2">
        <w:rPr>
          <w:rFonts w:ascii="Times New Roman" w:eastAsia="Times New Roman" w:hAnsi="Times New Roman" w:cs="Times New Roman"/>
          <w:sz w:val="22"/>
          <w:szCs w:val="22"/>
          <w:lang w:bidi="lv-LV"/>
        </w:rPr>
        <w:t xml:space="preserve">)) saskaņā ar Komisijas Regulas (ES) Nr. 2015/1222, ar ko izveido jaudas piešķiršanas un pārslodzes vadības vadlīnijas (turpmāk tekstā – </w:t>
      </w:r>
      <w:r w:rsidRPr="00EA40E2">
        <w:rPr>
          <w:rFonts w:ascii="Times New Roman" w:eastAsia="Times New Roman" w:hAnsi="Times New Roman" w:cs="Times New Roman"/>
          <w:b/>
          <w:sz w:val="22"/>
          <w:szCs w:val="22"/>
          <w:lang w:bidi="lv-LV"/>
        </w:rPr>
        <w:t>"CACM regula"</w:t>
      </w:r>
      <w:r w:rsidRPr="00EA40E2">
        <w:rPr>
          <w:rFonts w:ascii="Times New Roman" w:eastAsia="Times New Roman" w:hAnsi="Times New Roman" w:cs="Times New Roman"/>
          <w:sz w:val="22"/>
          <w:szCs w:val="22"/>
          <w:lang w:bidi="lv-LV"/>
        </w:rPr>
        <w:t xml:space="preserve">), 43. pantu. Šis priekšlikums turpmāk tekstā – </w:t>
      </w:r>
      <w:r w:rsidRPr="00EA40E2">
        <w:rPr>
          <w:rFonts w:ascii="Times New Roman" w:eastAsia="Times New Roman" w:hAnsi="Times New Roman" w:cs="Times New Roman"/>
          <w:b/>
          <w:sz w:val="22"/>
          <w:szCs w:val="22"/>
          <w:lang w:bidi="lv-LV"/>
        </w:rPr>
        <w:t>"DA SEC priekšlikums"</w:t>
      </w:r>
      <w:r w:rsidRPr="00EA40E2">
        <w:rPr>
          <w:rFonts w:ascii="Times New Roman" w:eastAsia="Times New Roman" w:hAnsi="Times New Roman" w:cs="Times New Roman"/>
          <w:sz w:val="22"/>
          <w:szCs w:val="22"/>
          <w:lang w:bidi="lv-LV"/>
        </w:rPr>
        <w:t>.</w:t>
      </w:r>
    </w:p>
    <w:p w14:paraId="4372D1F1" w14:textId="77777777" w:rsidR="00437D53" w:rsidRPr="00EA40E2" w:rsidRDefault="00437D53" w:rsidP="00437D53">
      <w:pPr>
        <w:pStyle w:val="ListParagraph"/>
        <w:ind w:left="270"/>
        <w:jc w:val="both"/>
        <w:rPr>
          <w:rFonts w:ascii="Times New Roman" w:hAnsi="Times New Roman" w:cs="Times New Roman"/>
          <w:sz w:val="22"/>
          <w:szCs w:val="22"/>
        </w:rPr>
      </w:pPr>
    </w:p>
    <w:p w14:paraId="26ECD94D" w14:textId="74D4CB3F" w:rsidR="00437D53" w:rsidRPr="00EA40E2"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priekšlikumā tiek ņemti vērā vispārīgie principi, mērķi un citas metodikas, kas ir atspoguļotas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regulā.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mērķis ir jaudas aprēķināšanas un piešķiršanas koordinēšana un saskaņošana nākamās dienas un </w:t>
      </w:r>
      <w:r w:rsidR="00DE1D69">
        <w:rPr>
          <w:rFonts w:ascii="Times New Roman" w:eastAsia="Times New Roman" w:hAnsi="Times New Roman" w:cs="Times New Roman"/>
          <w:sz w:val="22"/>
          <w:szCs w:val="22"/>
          <w:lang w:bidi="lv-LV"/>
        </w:rPr>
        <w:t>tekošās</w:t>
      </w:r>
      <w:r w:rsidR="00DE1D69" w:rsidRPr="00EA40E2">
        <w:rPr>
          <w:rFonts w:ascii="Times New Roman" w:eastAsia="Times New Roman" w:hAnsi="Times New Roman" w:cs="Times New Roman"/>
          <w:sz w:val="22"/>
          <w:szCs w:val="22"/>
          <w:lang w:bidi="lv-LV"/>
        </w:rPr>
        <w:t xml:space="preserve"> </w:t>
      </w:r>
      <w:r w:rsidRPr="00EA40E2">
        <w:rPr>
          <w:rFonts w:ascii="Times New Roman" w:eastAsia="Times New Roman" w:hAnsi="Times New Roman" w:cs="Times New Roman"/>
          <w:sz w:val="22"/>
          <w:szCs w:val="22"/>
          <w:lang w:bidi="lv-LV"/>
        </w:rPr>
        <w:t>dienas pārrobežu tirgos.</w:t>
      </w:r>
    </w:p>
    <w:p w14:paraId="67593523" w14:textId="77777777" w:rsidR="00437D53" w:rsidRPr="00EA40E2" w:rsidRDefault="00437D53" w:rsidP="00437D53">
      <w:pPr>
        <w:pStyle w:val="ListParagraph"/>
        <w:spacing w:before="240"/>
        <w:ind w:left="270"/>
        <w:jc w:val="both"/>
        <w:rPr>
          <w:rFonts w:ascii="Times New Roman" w:hAnsi="Times New Roman" w:cs="Times New Roman"/>
          <w:sz w:val="22"/>
          <w:szCs w:val="22"/>
        </w:rPr>
      </w:pPr>
    </w:p>
    <w:p w14:paraId="64587B92"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 xml:space="preserve">DA SEC </w:t>
      </w:r>
      <w:r w:rsidRPr="00EA40E2">
        <w:rPr>
          <w:rFonts w:ascii="Times New Roman" w:eastAsia="Times New Roman" w:hAnsi="Times New Roman" w:cs="Times New Roman"/>
          <w:sz w:val="22"/>
          <w:szCs w:val="22"/>
          <w:lang w:bidi="lv-LV"/>
        </w:rPr>
        <w:t xml:space="preserve">priekšlikums, ņemot vērā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45. pantu, attiecas uz situācijām, kad vairāk nekā viens Nominētais elektroenerģijas tirgus operators (turpmāk tekstā – </w:t>
      </w:r>
      <w:r w:rsidRPr="00EA40E2">
        <w:rPr>
          <w:rFonts w:ascii="Times New Roman" w:eastAsia="Times New Roman" w:hAnsi="Times New Roman" w:cs="Times New Roman"/>
          <w:b/>
          <w:sz w:val="22"/>
          <w:szCs w:val="22"/>
          <w:lang w:bidi="lv-LV"/>
        </w:rPr>
        <w:t>"NETO"</w:t>
      </w:r>
      <w:r w:rsidRPr="00EA40E2">
        <w:rPr>
          <w:rFonts w:ascii="Times New Roman" w:eastAsia="Times New Roman" w:hAnsi="Times New Roman" w:cs="Times New Roman"/>
          <w:sz w:val="22"/>
          <w:szCs w:val="22"/>
          <w:lang w:bidi="lv-LV"/>
        </w:rPr>
        <w:t xml:space="preserve">) ir iecelts un/vai piedāvā nākamās dienas tirdzniecības pakalpojumus konkrētā ģeogrāfiskajā apgabalā. Turklāt saskaņā ar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4. panta 1. punktu </w:t>
      </w:r>
      <w:r w:rsidRPr="00EA40E2">
        <w:rPr>
          <w:rFonts w:ascii="Times New Roman" w:eastAsia="Times New Roman" w:hAnsi="Times New Roman" w:cs="Times New Roman"/>
          <w:i/>
          <w:sz w:val="22"/>
          <w:szCs w:val="22"/>
          <w:lang w:bidi="lv-LV"/>
        </w:rPr>
        <w:t>SDAC</w:t>
      </w:r>
      <w:r w:rsidRPr="00EA40E2">
        <w:rPr>
          <w:rFonts w:ascii="Times New Roman" w:eastAsia="Times New Roman" w:hAnsi="Times New Roman" w:cs="Times New Roman"/>
          <w:sz w:val="22"/>
          <w:szCs w:val="22"/>
          <w:lang w:bidi="lv-LV"/>
        </w:rPr>
        <w:t xml:space="preserve"> veikšanai dalībvalstī var tikt iecelti vairāki NETO. Katram NETO piešķir attiecīgā NETO tirdzniecības platformu. Ja vienā ģeogrāfiskajā apgabalā darbojas vairāki NETO, dažiem vairāku NETO pasākumiem ir nepieciešamas vairākas NETO tirdzniecības platformas attiecīgajā ģeogrāfiskajā apgabalā.</w:t>
      </w:r>
    </w:p>
    <w:p w14:paraId="3189738C" w14:textId="77777777" w:rsidR="00437D53" w:rsidRPr="00EA40E2" w:rsidRDefault="00437D53" w:rsidP="00437D53">
      <w:pPr>
        <w:pStyle w:val="ListParagraph"/>
        <w:ind w:left="0"/>
        <w:rPr>
          <w:rFonts w:ascii="Times New Roman" w:hAnsi="Times New Roman" w:cs="Times New Roman"/>
          <w:sz w:val="22"/>
          <w:szCs w:val="22"/>
        </w:rPr>
      </w:pPr>
    </w:p>
    <w:p w14:paraId="01227DBB"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priekšlikums attiecas uz situācijām, kad tirdzniecības zona atbilst grafiku sagatavošanas zonai, kā arī vienā tirdzniecības zonā ir vairākas grafiku sagatavošanas zonas.</w:t>
      </w:r>
    </w:p>
    <w:p w14:paraId="233E276E" w14:textId="77777777" w:rsidR="00437D53" w:rsidRPr="00EA40E2" w:rsidRDefault="00437D53" w:rsidP="00437D53">
      <w:pPr>
        <w:pStyle w:val="ListParagraph"/>
        <w:ind w:left="0"/>
        <w:rPr>
          <w:rFonts w:ascii="Times New Roman" w:hAnsi="Times New Roman" w:cs="Times New Roman"/>
          <w:sz w:val="22"/>
          <w:szCs w:val="22"/>
        </w:rPr>
      </w:pPr>
    </w:p>
    <w:p w14:paraId="227B7F28"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priekšlikums paredz aprēķināt plānoto apmaiņu starp tirdzniecības zonām, grafiku sagatavošanas zonām un NETO tirdzniecības platformām.</w:t>
      </w:r>
    </w:p>
    <w:p w14:paraId="76C9D87D" w14:textId="77777777" w:rsidR="00437D53" w:rsidRPr="00EA40E2" w:rsidRDefault="00437D53" w:rsidP="00437D53">
      <w:pPr>
        <w:pStyle w:val="ListParagraph"/>
        <w:ind w:left="0"/>
        <w:rPr>
          <w:rFonts w:ascii="Times New Roman" w:hAnsi="Times New Roman" w:cs="Times New Roman"/>
          <w:sz w:val="22"/>
          <w:szCs w:val="22"/>
        </w:rPr>
      </w:pPr>
    </w:p>
    <w:p w14:paraId="38832963"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metodiku piemēro plānotās apmaiņas aprēķinātājs, kura pienākums, ievērojot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49. pantu, ir no </w:t>
      </w:r>
      <w:r w:rsidRPr="00EA40E2">
        <w:rPr>
          <w:rFonts w:ascii="Times New Roman" w:eastAsia="Times New Roman" w:hAnsi="Times New Roman" w:cs="Times New Roman"/>
          <w:i/>
          <w:sz w:val="22"/>
          <w:szCs w:val="22"/>
          <w:lang w:bidi="lv-LV"/>
        </w:rPr>
        <w:t>SDAC</w:t>
      </w:r>
      <w:r w:rsidRPr="00EA40E2">
        <w:rPr>
          <w:rFonts w:ascii="Times New Roman" w:eastAsia="Times New Roman" w:hAnsi="Times New Roman" w:cs="Times New Roman"/>
          <w:sz w:val="22"/>
          <w:szCs w:val="22"/>
          <w:lang w:bidi="lv-LV"/>
        </w:rPr>
        <w:t xml:space="preserve"> izrietošās plānotās apmaiņas aprēķināšana. Saskaņā ar visu PSO lēmumu šo funkciju var deleģēt pakalpojumu sniedzējam.</w:t>
      </w:r>
    </w:p>
    <w:p w14:paraId="1AD7817A" w14:textId="77777777" w:rsidR="00437D53" w:rsidRPr="00EA40E2" w:rsidRDefault="00437D53" w:rsidP="00437D53">
      <w:pPr>
        <w:pStyle w:val="ListParagraph"/>
        <w:ind w:left="0"/>
        <w:rPr>
          <w:rFonts w:ascii="Times New Roman" w:hAnsi="Times New Roman" w:cs="Times New Roman"/>
          <w:sz w:val="22"/>
          <w:szCs w:val="22"/>
        </w:rPr>
      </w:pPr>
    </w:p>
    <w:p w14:paraId="588ED5DF"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sz w:val="22"/>
          <w:szCs w:val="22"/>
          <w:lang w:bidi="lv-LV"/>
        </w:rPr>
        <w:t xml:space="preserve">Neto pozīcijas un klīringa cenas nosaka, pamatojoties uz </w:t>
      </w:r>
      <w:r w:rsidRPr="00EA40E2">
        <w:rPr>
          <w:rFonts w:ascii="Times New Roman" w:eastAsia="Times New Roman" w:hAnsi="Times New Roman" w:cs="Times New Roman"/>
          <w:i/>
          <w:sz w:val="22"/>
          <w:szCs w:val="22"/>
          <w:lang w:bidi="lv-LV"/>
        </w:rPr>
        <w:t>SDAC</w:t>
      </w:r>
      <w:r w:rsidRPr="00EA40E2">
        <w:rPr>
          <w:rFonts w:ascii="Times New Roman" w:eastAsia="Times New Roman" w:hAnsi="Times New Roman" w:cs="Times New Roman"/>
          <w:sz w:val="22"/>
          <w:szCs w:val="22"/>
          <w:lang w:bidi="lv-LV"/>
        </w:rPr>
        <w:t xml:space="preserve"> rezultātiem. Turklāt starpzonu jaudas un jaudas piešķiršanas ierobežojumi jau tika ņemti vērā cenas sasaistīšanas algoritmā. Līdz ar to aprēķinātā plānotā apmaiņa neietekmē starpzonu jaudas un jaudas piešķiršanas ierobežojumus.</w:t>
      </w:r>
    </w:p>
    <w:p w14:paraId="7AAFC0D2" w14:textId="77777777" w:rsidR="00437D53" w:rsidRPr="00EA40E2" w:rsidRDefault="00437D53" w:rsidP="00437D53">
      <w:pPr>
        <w:pStyle w:val="ListParagraph"/>
        <w:ind w:left="0"/>
        <w:rPr>
          <w:rFonts w:ascii="Times New Roman" w:hAnsi="Times New Roman" w:cs="Times New Roman"/>
          <w:sz w:val="22"/>
          <w:szCs w:val="22"/>
        </w:rPr>
      </w:pPr>
    </w:p>
    <w:p w14:paraId="43853F4F"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sz w:val="22"/>
          <w:szCs w:val="22"/>
          <w:lang w:bidi="lv-LV"/>
        </w:rPr>
        <w:t xml:space="preserve">Saskaņā ar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9. panta 9. punktu </w:t>
      </w: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priekšlikumā tiek iekļauts priekšlikums par piedāvātās </w:t>
      </w: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metodikas īstenošanas grafiku.</w:t>
      </w:r>
    </w:p>
    <w:p w14:paraId="69DA9FD3" w14:textId="77777777" w:rsidR="00437D53" w:rsidRPr="00EA40E2" w:rsidRDefault="00437D53" w:rsidP="00437D53">
      <w:pPr>
        <w:pStyle w:val="ListParagraph"/>
        <w:ind w:left="0"/>
        <w:rPr>
          <w:rFonts w:ascii="Times New Roman" w:hAnsi="Times New Roman" w:cs="Times New Roman"/>
          <w:sz w:val="22"/>
          <w:szCs w:val="22"/>
        </w:rPr>
      </w:pPr>
    </w:p>
    <w:p w14:paraId="03325199" w14:textId="77777777" w:rsidR="00437D53" w:rsidRDefault="00437D53" w:rsidP="00437D53">
      <w:pPr>
        <w:pStyle w:val="ListParagraph"/>
        <w:numPr>
          <w:ilvl w:val="0"/>
          <w:numId w:val="20"/>
        </w:numPr>
        <w:spacing w:before="240"/>
        <w:ind w:left="270" w:hanging="270"/>
        <w:jc w:val="both"/>
        <w:rPr>
          <w:rFonts w:ascii="Times New Roman" w:hAnsi="Times New Roman" w:cs="Times New Roman"/>
          <w:sz w:val="22"/>
          <w:szCs w:val="22"/>
        </w:rPr>
      </w:pPr>
      <w:r w:rsidRPr="00EA40E2">
        <w:rPr>
          <w:rFonts w:ascii="Times New Roman" w:eastAsia="Times New Roman" w:hAnsi="Times New Roman" w:cs="Times New Roman"/>
          <w:i/>
          <w:sz w:val="22"/>
          <w:szCs w:val="22"/>
          <w:lang w:bidi="lv-LV"/>
        </w:rPr>
        <w:t>DA SEC</w:t>
      </w:r>
      <w:r w:rsidRPr="00EA40E2">
        <w:rPr>
          <w:rFonts w:ascii="Times New Roman" w:eastAsia="Times New Roman" w:hAnsi="Times New Roman" w:cs="Times New Roman"/>
          <w:sz w:val="22"/>
          <w:szCs w:val="22"/>
          <w:lang w:bidi="lv-LV"/>
        </w:rPr>
        <w:t xml:space="preserve"> metodikas īstenošana ir saskaņota ar cenas sasaistīšanas algoritma priekšlikumu saskaņā ar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37. pantu (turpmāk tekstā – "algoritma metodika"), saskaņā ar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45. pantu izstrādātajiem pasākumiem vairāk nekā vienam NETO vienā tirdzniecības zonā un saskaņā ar </w:t>
      </w:r>
      <w:r w:rsidRPr="00EA40E2">
        <w:rPr>
          <w:rFonts w:ascii="Times New Roman" w:eastAsia="Times New Roman" w:hAnsi="Times New Roman" w:cs="Times New Roman"/>
          <w:i/>
          <w:sz w:val="22"/>
          <w:szCs w:val="22"/>
          <w:lang w:bidi="lv-LV"/>
        </w:rPr>
        <w:t>CACM</w:t>
      </w:r>
      <w:r w:rsidRPr="00EA40E2">
        <w:rPr>
          <w:rFonts w:ascii="Times New Roman" w:eastAsia="Times New Roman" w:hAnsi="Times New Roman" w:cs="Times New Roman"/>
          <w:sz w:val="22"/>
          <w:szCs w:val="22"/>
          <w:lang w:bidi="lv-LV"/>
        </w:rPr>
        <w:t xml:space="preserve"> regulas 77. pantu izstrādātajiem pasākumiem klīringam un norēķiniem starp centrālajiem darījuma partneriem un nosūtītājiem. Līdz ar to īstenošanai ir jānotiek sadarbībā ar NETO, piemērojot kopīgus risinājumus, lai nodrošinātu apmaiņas aprēķinu konsekvenci un saskaņotību.</w:t>
      </w:r>
    </w:p>
    <w:p w14:paraId="3C711C4B" w14:textId="77777777" w:rsidR="00437D53" w:rsidRPr="003552C9" w:rsidRDefault="00437D53" w:rsidP="00437D53">
      <w:pPr>
        <w:jc w:val="both"/>
        <w:rPr>
          <w:rFonts w:ascii="Times New Roman" w:hAnsi="Times New Roman" w:cs="Times New Roman"/>
          <w:sz w:val="22"/>
          <w:szCs w:val="22"/>
        </w:rPr>
      </w:pPr>
    </w:p>
    <w:p w14:paraId="5A574E8D" w14:textId="77777777" w:rsidR="00437D53" w:rsidRDefault="00437D53" w:rsidP="00437D53">
      <w:pPr>
        <w:pStyle w:val="ListParagraph"/>
        <w:numPr>
          <w:ilvl w:val="0"/>
          <w:numId w:val="20"/>
        </w:numPr>
        <w:ind w:left="45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Plānotās apmaiņas aprēķināšana veidos neatņemamu daļu cenas sasaistīšanas algoritma </w:t>
      </w:r>
      <w:r w:rsidRPr="003552C9">
        <w:rPr>
          <w:rFonts w:ascii="Times New Roman" w:eastAsia="Times New Roman" w:hAnsi="Times New Roman" w:cs="Times New Roman"/>
          <w:sz w:val="22"/>
          <w:szCs w:val="22"/>
          <w:lang w:bidi="lv-LV"/>
        </w:rPr>
        <w:lastRenderedPageBreak/>
        <w:t xml:space="preserve">saskaņā ar Energoregulatoru sadarbības aģentūras </w:t>
      </w:r>
      <w:r w:rsidRPr="003552C9">
        <w:rPr>
          <w:rFonts w:ascii="Times New Roman" w:eastAsia="Times New Roman" w:hAnsi="Times New Roman" w:cs="Times New Roman"/>
          <w:i/>
          <w:sz w:val="22"/>
          <w:szCs w:val="22"/>
          <w:lang w:bidi="lv-LV"/>
        </w:rPr>
        <w:t>(ACER)</w:t>
      </w:r>
      <w:r w:rsidRPr="003552C9">
        <w:rPr>
          <w:rFonts w:ascii="Times New Roman" w:eastAsia="Times New Roman" w:hAnsi="Times New Roman" w:cs="Times New Roman"/>
          <w:sz w:val="22"/>
          <w:szCs w:val="22"/>
          <w:lang w:bidi="lv-LV"/>
        </w:rPr>
        <w:t xml:space="preserve"> Lēmumu Nr. 08/2018 ar visu NETO priekšlikumu par cenas sasaistīšanas algoritmu un nepārtrauktas tirdzniecības savietošanas algoritmu.</w:t>
      </w:r>
    </w:p>
    <w:p w14:paraId="626D57E1" w14:textId="77777777" w:rsidR="00437D53" w:rsidRPr="003552C9" w:rsidRDefault="00437D53" w:rsidP="00437D53">
      <w:pPr>
        <w:rPr>
          <w:rFonts w:ascii="Times New Roman" w:hAnsi="Times New Roman" w:cs="Times New Roman"/>
          <w:sz w:val="22"/>
          <w:szCs w:val="22"/>
        </w:rPr>
      </w:pPr>
    </w:p>
    <w:p w14:paraId="17D138B8" w14:textId="77777777" w:rsidR="00437D53" w:rsidRDefault="00437D53" w:rsidP="00437D53">
      <w:pPr>
        <w:pStyle w:val="ListParagraph"/>
        <w:numPr>
          <w:ilvl w:val="0"/>
          <w:numId w:val="20"/>
        </w:numPr>
        <w:ind w:left="45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Saskaņā ar </w:t>
      </w: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9. panta 9. punktu tiks aprakstīta piedāvātās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metodikas sagaidāmā ietekme uz </w:t>
      </w: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mērķiem.</w:t>
      </w:r>
    </w:p>
    <w:p w14:paraId="5079A67C" w14:textId="77777777" w:rsidR="00437D53" w:rsidRPr="003552C9" w:rsidRDefault="00437D53" w:rsidP="00437D53">
      <w:pPr>
        <w:rPr>
          <w:rFonts w:ascii="Times New Roman" w:hAnsi="Times New Roman" w:cs="Times New Roman"/>
          <w:sz w:val="22"/>
          <w:szCs w:val="22"/>
        </w:rPr>
      </w:pPr>
    </w:p>
    <w:p w14:paraId="65F4D35D" w14:textId="77777777" w:rsidR="00437D53" w:rsidRDefault="00437D53" w:rsidP="00437D53">
      <w:pPr>
        <w:pStyle w:val="ListParagraph"/>
        <w:numPr>
          <w:ilvl w:val="0"/>
          <w:numId w:val="21"/>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a) apakšpunkts noteic, ka tās mērķis ir veicināt efektīvu konkurenci elektroenerģijas ražošanā, tirdzniecībā un piegādē.</w:t>
      </w:r>
    </w:p>
    <w:p w14:paraId="7C5D7B56" w14:textId="77777777" w:rsidR="00437D53" w:rsidRDefault="00437D53" w:rsidP="00437D53">
      <w:pPr>
        <w:pStyle w:val="ListParagraph"/>
        <w:numPr>
          <w:ilvl w:val="1"/>
          <w:numId w:val="21"/>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tā kā tā pamatojas uz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rezultātiem, neietekmē konkurenci elektroenerģijas ražošanā, tirdzniecībā un piegādē.</w:t>
      </w:r>
    </w:p>
    <w:p w14:paraId="2951894E" w14:textId="77777777" w:rsidR="00437D53" w:rsidRPr="003552C9" w:rsidRDefault="00437D53" w:rsidP="00437D53">
      <w:pPr>
        <w:jc w:val="both"/>
        <w:rPr>
          <w:rFonts w:ascii="Times New Roman" w:hAnsi="Times New Roman" w:cs="Times New Roman"/>
          <w:sz w:val="22"/>
          <w:szCs w:val="22"/>
        </w:rPr>
      </w:pPr>
    </w:p>
    <w:p w14:paraId="380D40F0" w14:textId="77777777" w:rsidR="00437D53" w:rsidRDefault="00437D53" w:rsidP="00437D53">
      <w:pPr>
        <w:pStyle w:val="ListParagraph"/>
        <w:numPr>
          <w:ilvl w:val="0"/>
          <w:numId w:val="21"/>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b) apakšpunkts noteic, ka tās mērķis ir nodrošināt pārvades infrastruktūras optimālu izmantojumu.</w:t>
      </w:r>
    </w:p>
    <w:p w14:paraId="6F811B97" w14:textId="77777777" w:rsidR="00437D53" w:rsidRPr="003552C9" w:rsidRDefault="00437D53" w:rsidP="00437D53">
      <w:pPr>
        <w:pStyle w:val="ListParagraph"/>
        <w:numPr>
          <w:ilvl w:val="1"/>
          <w:numId w:val="21"/>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No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metodikas izrietošā plānotā apmaiņa pamatojas uz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rezultātiem, proti, uz:</w:t>
      </w:r>
    </w:p>
    <w:p w14:paraId="470C58FB" w14:textId="77777777" w:rsidR="00437D53" w:rsidRDefault="00437D53" w:rsidP="00437D53">
      <w:pPr>
        <w:pStyle w:val="ListParagraph"/>
        <w:numPr>
          <w:ilvl w:val="0"/>
          <w:numId w:val="22"/>
        </w:numPr>
        <w:ind w:left="198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tirdzniecības zonu, grafiku sagatavošanas zonu un NETO tirdzniecības platformu neto pozīcijām;</w:t>
      </w:r>
    </w:p>
    <w:p w14:paraId="3FBE6907" w14:textId="77777777" w:rsidR="00437D53" w:rsidRDefault="00437D53" w:rsidP="00437D53">
      <w:pPr>
        <w:pStyle w:val="ListParagraph"/>
        <w:numPr>
          <w:ilvl w:val="0"/>
          <w:numId w:val="22"/>
        </w:numPr>
        <w:ind w:left="198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plānoto apmaiņu uz un no atsevišķiem augstsprieguma līdzstrāvas starpsavienotājiem (starpību starp ienākošo/izejošo plānoto apmaiņu, ja nepieciešams, atspoguļojot zaudējumus).</w:t>
      </w:r>
    </w:p>
    <w:p w14:paraId="06D01534" w14:textId="77777777" w:rsidR="00437D53" w:rsidRPr="003552C9" w:rsidRDefault="00437D53" w:rsidP="00437D53">
      <w:pPr>
        <w:jc w:val="both"/>
        <w:rPr>
          <w:rFonts w:ascii="Times New Roman" w:hAnsi="Times New Roman" w:cs="Times New Roman"/>
          <w:sz w:val="22"/>
          <w:szCs w:val="22"/>
        </w:rPr>
      </w:pPr>
    </w:p>
    <w:p w14:paraId="77CA0F54" w14:textId="77777777" w:rsidR="00437D53" w:rsidRDefault="00437D53" w:rsidP="00437D53">
      <w:pPr>
        <w:pStyle w:val="ListParagraph"/>
        <w:numPr>
          <w:ilvl w:val="0"/>
          <w:numId w:val="23"/>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c) apakšpunkts noteic, ka tās mērķis ir nodrošināt darbības drošību.</w:t>
      </w:r>
    </w:p>
    <w:p w14:paraId="1DBB0680" w14:textId="11FC8CF7" w:rsidR="00437D53" w:rsidRDefault="00437D53" w:rsidP="00437D53">
      <w:pPr>
        <w:pStyle w:val="ListParagraph"/>
        <w:numPr>
          <w:ilvl w:val="1"/>
          <w:numId w:val="23"/>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Visu NETO visiem PSO sniegtajā no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izrietošajā informācijā tiks pienācīgi ņemti vērā visi PSO noteiktie ierobežojumi, lai uzturētu darbības drošību. Plānotās apmaiņas aprēķināšana neietekmē starpzonu jaudas un jaudas piešķiršanas ierobežojumus un tai nav ietekmes uz darbības drošību.</w:t>
      </w:r>
    </w:p>
    <w:p w14:paraId="2AF50F14" w14:textId="77777777" w:rsidR="00437D53" w:rsidRPr="003552C9" w:rsidRDefault="00437D53" w:rsidP="00437D53">
      <w:pPr>
        <w:jc w:val="both"/>
        <w:rPr>
          <w:rFonts w:ascii="Times New Roman" w:hAnsi="Times New Roman" w:cs="Times New Roman"/>
          <w:sz w:val="22"/>
          <w:szCs w:val="22"/>
        </w:rPr>
      </w:pPr>
    </w:p>
    <w:p w14:paraId="16503D0C" w14:textId="77777777" w:rsidR="00437D53" w:rsidRDefault="00437D53" w:rsidP="00437D53">
      <w:pPr>
        <w:pStyle w:val="ListParagraph"/>
        <w:numPr>
          <w:ilvl w:val="0"/>
          <w:numId w:val="23"/>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d) apakšpunkts noteic, ka tās mērķis ir pilnveidot starpzonu jaudas aprēķināšanu un piešķiršanu.</w:t>
      </w:r>
    </w:p>
    <w:p w14:paraId="1F42B37A" w14:textId="77777777" w:rsidR="00437D53" w:rsidRDefault="00437D53" w:rsidP="00437D53">
      <w:pPr>
        <w:pStyle w:val="ListParagraph"/>
        <w:numPr>
          <w:ilvl w:val="1"/>
          <w:numId w:val="23"/>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No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izrietošā plānotā apmaiņa nepārveido, bet gan tikai pienācīgi atspoguļo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sesijas rezultātus.</w:t>
      </w:r>
    </w:p>
    <w:p w14:paraId="5CEC190C" w14:textId="77777777" w:rsidR="00437D53" w:rsidRPr="003552C9" w:rsidRDefault="00437D53" w:rsidP="00437D53">
      <w:pPr>
        <w:jc w:val="both"/>
        <w:rPr>
          <w:rFonts w:ascii="Times New Roman" w:hAnsi="Times New Roman" w:cs="Times New Roman"/>
          <w:sz w:val="22"/>
          <w:szCs w:val="22"/>
        </w:rPr>
      </w:pPr>
    </w:p>
    <w:p w14:paraId="6889D75F" w14:textId="77777777" w:rsidR="00437D53" w:rsidRPr="003552C9" w:rsidRDefault="00437D53" w:rsidP="00437D53">
      <w:pPr>
        <w:pStyle w:val="ListParagraph"/>
        <w:numPr>
          <w:ilvl w:val="0"/>
          <w:numId w:val="24"/>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e) apakšpunkts noteic, ka tās mērķis ir nodrošināt taisnīgu un nediskriminējošu attieksmi pret PSO, NETO, Aģentūru, regulatīvajām iestādēm un tirgus dalībniekiem.</w:t>
      </w:r>
    </w:p>
    <w:p w14:paraId="0B183494" w14:textId="77777777" w:rsidR="00437D53" w:rsidRDefault="00437D53" w:rsidP="00437D53">
      <w:pPr>
        <w:pStyle w:val="ListParagraph"/>
        <w:numPr>
          <w:ilvl w:val="1"/>
          <w:numId w:val="24"/>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ir taisnīga, caurredzama un pamatojas uz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rezultātiem.</w:t>
      </w:r>
    </w:p>
    <w:p w14:paraId="3AA5B5CF" w14:textId="77777777" w:rsidR="00437D53" w:rsidRPr="003552C9" w:rsidRDefault="00437D53" w:rsidP="00437D53">
      <w:pPr>
        <w:jc w:val="both"/>
        <w:rPr>
          <w:rFonts w:ascii="Times New Roman" w:hAnsi="Times New Roman" w:cs="Times New Roman"/>
          <w:sz w:val="22"/>
          <w:szCs w:val="22"/>
        </w:rPr>
      </w:pPr>
    </w:p>
    <w:p w14:paraId="023C87D7" w14:textId="77777777" w:rsidR="00437D53" w:rsidRPr="003552C9" w:rsidRDefault="00437D53" w:rsidP="00437D53">
      <w:pPr>
        <w:pStyle w:val="ListParagraph"/>
        <w:numPr>
          <w:ilvl w:val="0"/>
          <w:numId w:val="24"/>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f) apakšpunkts noteic, ka tās mērķis ir nodrošināt un uzlabot caurredzamību un informācijas ticamību.</w:t>
      </w:r>
    </w:p>
    <w:p w14:paraId="6733FB13" w14:textId="77777777" w:rsidR="00437D53" w:rsidRPr="003552C9" w:rsidRDefault="00437D53" w:rsidP="00437D53">
      <w:pPr>
        <w:pStyle w:val="ListParagraph"/>
        <w:numPr>
          <w:ilvl w:val="1"/>
          <w:numId w:val="24"/>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paredz pakāpenisku, lejupejošu pieeju (no tirdzniecības zonas līdz grafiku sagatavošanas zonai un NETO tirdzniecības platformai) plānotās apmaiņas aprēķināšanai, nodrošinot un uzlabojot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metodikas caurredzamību un ticamību.</w:t>
      </w:r>
    </w:p>
    <w:p w14:paraId="5033FC0B" w14:textId="77777777" w:rsidR="00437D53" w:rsidRDefault="00437D53" w:rsidP="00437D53">
      <w:pPr>
        <w:widowControl/>
        <w:spacing w:after="160" w:line="259" w:lineRule="auto"/>
      </w:pPr>
      <w:r>
        <w:rPr>
          <w:lang w:bidi="lv-LV"/>
        </w:rPr>
        <w:br w:type="page"/>
      </w:r>
    </w:p>
    <w:p w14:paraId="7559114D" w14:textId="77777777" w:rsidR="00437D53" w:rsidRDefault="00437D53" w:rsidP="00437D53">
      <w:pPr>
        <w:pStyle w:val="ListParagraph"/>
        <w:numPr>
          <w:ilvl w:val="0"/>
          <w:numId w:val="25"/>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lastRenderedPageBreak/>
        <w:t>CACM</w:t>
      </w:r>
      <w:r w:rsidRPr="003552C9">
        <w:rPr>
          <w:rFonts w:ascii="Times New Roman" w:eastAsia="Times New Roman" w:hAnsi="Times New Roman" w:cs="Times New Roman"/>
          <w:sz w:val="22"/>
          <w:szCs w:val="22"/>
          <w:lang w:bidi="lv-LV"/>
        </w:rPr>
        <w:t xml:space="preserve"> regulas 3. panta g) apakšpunkts noteic, ka tās mērķis ir sekmēt elektroenerģijas pārvades sistēmas un elektroenerģijas sektora efektīvu ilgtermiņa darbību un attīstību Savienībā.</w:t>
      </w:r>
    </w:p>
    <w:p w14:paraId="74F9B8F8" w14:textId="77777777" w:rsidR="00437D53" w:rsidRDefault="00437D53" w:rsidP="00437D53">
      <w:pPr>
        <w:pStyle w:val="ListParagraph"/>
        <w:numPr>
          <w:ilvl w:val="1"/>
          <w:numId w:val="25"/>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demonstrē nepārprotamu visaptverošu Tīkla kodeksa nostāju, lai sekmētu vienotā Eiropas nākamās dienas tirgus efektīvu attīstību.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pateicoties tās struktūrai, veicina Eiropas pārvades sistēmas efektīvu ilgtermiņa darbību un attīstību.</w:t>
      </w:r>
    </w:p>
    <w:p w14:paraId="2B3A07FE" w14:textId="77777777" w:rsidR="00437D53" w:rsidRPr="003552C9" w:rsidRDefault="00437D53" w:rsidP="00437D53">
      <w:pPr>
        <w:jc w:val="both"/>
        <w:rPr>
          <w:rFonts w:ascii="Times New Roman" w:hAnsi="Times New Roman" w:cs="Times New Roman"/>
          <w:sz w:val="22"/>
          <w:szCs w:val="22"/>
        </w:rPr>
      </w:pPr>
    </w:p>
    <w:p w14:paraId="6C516586" w14:textId="77777777" w:rsidR="00437D53" w:rsidRDefault="00437D53" w:rsidP="00437D53">
      <w:pPr>
        <w:pStyle w:val="ListParagraph"/>
        <w:numPr>
          <w:ilvl w:val="0"/>
          <w:numId w:val="25"/>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h) apakšpunkts noteic, ka tās mērķis ir ņemt vērā vajadzību nodrošināt taisnīgu un akurātu tirgu un taisnīgu un akurātu cenu veidošanu.</w:t>
      </w:r>
    </w:p>
    <w:p w14:paraId="09B0C61C" w14:textId="77777777" w:rsidR="00437D53" w:rsidRPr="003552C9" w:rsidRDefault="00437D53" w:rsidP="00437D53">
      <w:pPr>
        <w:pStyle w:val="ListParagraph"/>
        <w:numPr>
          <w:ilvl w:val="1"/>
          <w:numId w:val="25"/>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neskar un nekaitē tirgus dalībnieku anonimitātei, jo tā neietekmē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rezultātus.</w:t>
      </w:r>
    </w:p>
    <w:p w14:paraId="5DACE089" w14:textId="77777777" w:rsidR="00437D53" w:rsidRDefault="00437D53" w:rsidP="00437D53">
      <w:pPr>
        <w:jc w:val="both"/>
        <w:rPr>
          <w:rFonts w:ascii="Times New Roman" w:hAnsi="Times New Roman" w:cs="Times New Roman"/>
          <w:sz w:val="22"/>
          <w:szCs w:val="22"/>
        </w:rPr>
      </w:pPr>
    </w:p>
    <w:p w14:paraId="4C2EC2BB" w14:textId="77777777" w:rsidR="00437D53" w:rsidRDefault="00437D53" w:rsidP="00437D53">
      <w:pPr>
        <w:pStyle w:val="ListParagraph"/>
        <w:numPr>
          <w:ilvl w:val="0"/>
          <w:numId w:val="26"/>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i) apakšpunkts noteic, ka tās mērķis ir radīt vienlīdzīgus konkurences apstākļus NETO.</w:t>
      </w:r>
    </w:p>
    <w:p w14:paraId="38F16D68" w14:textId="77777777" w:rsidR="00437D53" w:rsidRPr="003552C9" w:rsidRDefault="00437D53" w:rsidP="00437D53">
      <w:pPr>
        <w:pStyle w:val="ListParagraph"/>
        <w:numPr>
          <w:ilvl w:val="1"/>
          <w:numId w:val="26"/>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rada vienlīdzīgus konkurences apstākļus NETO, jo tā neietekmē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rezultātus. Turklāt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atbalsta vairāku NETO darbību vienā tirdzniecības zonā vai grafiku sagatavošanas zonā.</w:t>
      </w:r>
    </w:p>
    <w:p w14:paraId="20FEF0B8" w14:textId="77777777" w:rsidR="00437D53" w:rsidRDefault="00437D53" w:rsidP="00437D53">
      <w:pPr>
        <w:jc w:val="both"/>
        <w:rPr>
          <w:rFonts w:ascii="Times New Roman" w:hAnsi="Times New Roman" w:cs="Times New Roman"/>
          <w:sz w:val="22"/>
          <w:szCs w:val="22"/>
        </w:rPr>
      </w:pPr>
    </w:p>
    <w:p w14:paraId="6F6596B0" w14:textId="77777777" w:rsidR="00437D53" w:rsidRDefault="00437D53" w:rsidP="00437D53">
      <w:pPr>
        <w:pStyle w:val="ListParagraph"/>
        <w:numPr>
          <w:ilvl w:val="0"/>
          <w:numId w:val="26"/>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 panta j) apakšpunkts noteic, ka tās mērķis ir nodrošināt nediskriminējošu piekļuvi starpzonu jaudai.</w:t>
      </w:r>
    </w:p>
    <w:p w14:paraId="2752C198" w14:textId="77777777" w:rsidR="00437D53" w:rsidRPr="003552C9" w:rsidRDefault="00437D53" w:rsidP="00437D53">
      <w:pPr>
        <w:pStyle w:val="ListParagraph"/>
        <w:numPr>
          <w:ilvl w:val="1"/>
          <w:numId w:val="26"/>
        </w:numPr>
        <w:jc w:val="both"/>
        <w:rPr>
          <w:rFonts w:ascii="Times New Roman" w:hAnsi="Times New Roman" w:cs="Times New Roman"/>
          <w:sz w:val="22"/>
          <w:szCs w:val="22"/>
        </w:rPr>
      </w:pP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metodika neskar nedz starpzonu jaudas nodrošināšanu, nedz tās piešķiršanu.</w:t>
      </w:r>
    </w:p>
    <w:p w14:paraId="2CD9AE2D" w14:textId="77777777" w:rsidR="00437D53" w:rsidRDefault="00437D53" w:rsidP="00437D53">
      <w:pPr>
        <w:jc w:val="both"/>
        <w:rPr>
          <w:rFonts w:ascii="Times New Roman" w:hAnsi="Times New Roman" w:cs="Times New Roman"/>
          <w:sz w:val="22"/>
          <w:szCs w:val="22"/>
        </w:rPr>
      </w:pPr>
    </w:p>
    <w:p w14:paraId="35FBB28A" w14:textId="77777777" w:rsidR="00437D53" w:rsidRDefault="00437D53" w:rsidP="00437D53">
      <w:pPr>
        <w:pStyle w:val="ListParagraph"/>
        <w:numPr>
          <w:ilvl w:val="0"/>
          <w:numId w:val="20"/>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Prasības par informācijas apmaiņu starp NETO, PSO un </w:t>
      </w:r>
      <w:r w:rsidRPr="003552C9">
        <w:rPr>
          <w:rFonts w:ascii="Times New Roman" w:eastAsia="Times New Roman" w:hAnsi="Times New Roman" w:cs="Times New Roman"/>
          <w:i/>
          <w:sz w:val="22"/>
          <w:szCs w:val="22"/>
          <w:lang w:bidi="lv-LV"/>
        </w:rPr>
        <w:t>SEC</w:t>
      </w:r>
      <w:r w:rsidRPr="003552C9">
        <w:rPr>
          <w:rFonts w:ascii="Times New Roman" w:eastAsia="Times New Roman" w:hAnsi="Times New Roman" w:cs="Times New Roman"/>
          <w:sz w:val="22"/>
          <w:szCs w:val="22"/>
          <w:lang w:bidi="lv-LV"/>
        </w:rPr>
        <w:t xml:space="preserve"> izriet no algoritma metodikas.</w:t>
      </w:r>
    </w:p>
    <w:p w14:paraId="13FD28D5" w14:textId="77777777" w:rsidR="00437D53" w:rsidRPr="003552C9" w:rsidRDefault="00437D53" w:rsidP="00437D53">
      <w:pPr>
        <w:jc w:val="both"/>
        <w:rPr>
          <w:rFonts w:ascii="Times New Roman" w:hAnsi="Times New Roman" w:cs="Times New Roman"/>
          <w:sz w:val="22"/>
          <w:szCs w:val="22"/>
        </w:rPr>
      </w:pPr>
    </w:p>
    <w:p w14:paraId="72143EE7" w14:textId="054F28E1" w:rsidR="00437D53" w:rsidRPr="003552C9" w:rsidRDefault="00437D53" w:rsidP="00437D53">
      <w:pPr>
        <w:jc w:val="both"/>
        <w:rPr>
          <w:rFonts w:ascii="Times New Roman" w:hAnsi="Times New Roman" w:cs="Times New Roman"/>
          <w:sz w:val="20"/>
          <w:szCs w:val="22"/>
        </w:rPr>
      </w:pPr>
      <w:bookmarkStart w:id="5" w:name="bookmark3"/>
      <w:r w:rsidRPr="003552C9">
        <w:rPr>
          <w:rFonts w:ascii="Times New Roman" w:eastAsia="Times New Roman" w:hAnsi="Times New Roman" w:cs="Times New Roman"/>
          <w:sz w:val="20"/>
          <w:szCs w:val="22"/>
          <w:lang w:bidi="lv-LV"/>
        </w:rPr>
        <w:t xml:space="preserve">IESNIEDZ ŠĀDU </w:t>
      </w:r>
      <w:r w:rsidRPr="003552C9">
        <w:rPr>
          <w:rFonts w:ascii="Times New Roman" w:eastAsia="Times New Roman" w:hAnsi="Times New Roman" w:cs="Times New Roman"/>
          <w:i/>
          <w:sz w:val="20"/>
          <w:szCs w:val="22"/>
          <w:lang w:bidi="lv-LV"/>
        </w:rPr>
        <w:t>DA SEC</w:t>
      </w:r>
      <w:r w:rsidRPr="003552C9">
        <w:rPr>
          <w:rFonts w:ascii="Times New Roman" w:eastAsia="Times New Roman" w:hAnsi="Times New Roman" w:cs="Times New Roman"/>
          <w:sz w:val="20"/>
          <w:szCs w:val="22"/>
          <w:lang w:bidi="lv-LV"/>
        </w:rPr>
        <w:t xml:space="preserve"> METODIKU VISĀM REGULATĪVAJĀM IESTĀDĒM:</w:t>
      </w:r>
      <w:bookmarkEnd w:id="5"/>
    </w:p>
    <w:p w14:paraId="0DBE27B8" w14:textId="77777777" w:rsidR="00437D53" w:rsidRDefault="00437D53" w:rsidP="00437D53">
      <w:pPr>
        <w:jc w:val="both"/>
        <w:rPr>
          <w:rFonts w:ascii="Times New Roman" w:hAnsi="Times New Roman" w:cs="Times New Roman"/>
          <w:sz w:val="22"/>
          <w:szCs w:val="22"/>
        </w:rPr>
      </w:pPr>
      <w:bookmarkStart w:id="6" w:name="bookmark4"/>
      <w:bookmarkStart w:id="7" w:name="bookmark5"/>
    </w:p>
    <w:p w14:paraId="530684CD" w14:textId="77777777" w:rsidR="00437D53" w:rsidRPr="003552C9" w:rsidRDefault="00437D53" w:rsidP="00437D53">
      <w:pPr>
        <w:pStyle w:val="Heading11"/>
        <w:keepNext/>
        <w:keepLines/>
        <w:shd w:val="clear" w:color="auto" w:fill="auto"/>
        <w:spacing w:line="254" w:lineRule="auto"/>
      </w:pPr>
      <w:bookmarkStart w:id="8" w:name="_Toc346714"/>
      <w:r w:rsidRPr="003552C9">
        <w:rPr>
          <w:lang w:bidi="lv-LV"/>
        </w:rPr>
        <w:t>1. pants. Priekšmets un piemērošanas joma</w:t>
      </w:r>
      <w:bookmarkEnd w:id="6"/>
      <w:bookmarkEnd w:id="7"/>
      <w:bookmarkEnd w:id="8"/>
    </w:p>
    <w:p w14:paraId="3C2186D6" w14:textId="77777777" w:rsidR="00437D53" w:rsidRDefault="00437D53" w:rsidP="00437D53">
      <w:pPr>
        <w:pStyle w:val="ListParagraph"/>
        <w:numPr>
          <w:ilvl w:val="0"/>
          <w:numId w:val="27"/>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Visi PSO šajā </w:t>
      </w:r>
      <w:r w:rsidRPr="003552C9">
        <w:rPr>
          <w:rFonts w:ascii="Times New Roman" w:eastAsia="Times New Roman" w:hAnsi="Times New Roman" w:cs="Times New Roman"/>
          <w:i/>
          <w:sz w:val="22"/>
          <w:szCs w:val="22"/>
          <w:lang w:bidi="lv-LV"/>
        </w:rPr>
        <w:t>DA SEC</w:t>
      </w:r>
      <w:r w:rsidRPr="003552C9">
        <w:rPr>
          <w:rFonts w:ascii="Times New Roman" w:eastAsia="Times New Roman" w:hAnsi="Times New Roman" w:cs="Times New Roman"/>
          <w:sz w:val="22"/>
          <w:szCs w:val="22"/>
          <w:lang w:bidi="lv-LV"/>
        </w:rPr>
        <w:t xml:space="preserve"> priekšlikumā nosaka prasības no </w:t>
      </w:r>
      <w:r w:rsidRPr="003552C9">
        <w:rPr>
          <w:rFonts w:ascii="Times New Roman" w:eastAsia="Times New Roman" w:hAnsi="Times New Roman" w:cs="Times New Roman"/>
          <w:i/>
          <w:sz w:val="22"/>
          <w:szCs w:val="22"/>
          <w:lang w:bidi="lv-LV"/>
        </w:rPr>
        <w:t>SDAC</w:t>
      </w:r>
      <w:r w:rsidRPr="003552C9">
        <w:rPr>
          <w:rFonts w:ascii="Times New Roman" w:eastAsia="Times New Roman" w:hAnsi="Times New Roman" w:cs="Times New Roman"/>
          <w:sz w:val="22"/>
          <w:szCs w:val="22"/>
          <w:lang w:bidi="lv-LV"/>
        </w:rPr>
        <w:t xml:space="preserve"> izrietošās plānotās apmaiņas aprēķināšanai, informāciju, kas ir nepieciešama aprēķināšanas nolūkos no visiem NETO, aprēķināšanas procesu, metodiku un nepieciešamo vienādojumu (formulu) aprakstu.</w:t>
      </w:r>
    </w:p>
    <w:p w14:paraId="6D3E9BD4" w14:textId="77777777" w:rsidR="00437D53" w:rsidRDefault="00437D53" w:rsidP="00437D53">
      <w:pPr>
        <w:pStyle w:val="ListParagraph"/>
        <w:jc w:val="both"/>
        <w:rPr>
          <w:rFonts w:ascii="Times New Roman" w:hAnsi="Times New Roman" w:cs="Times New Roman"/>
          <w:sz w:val="22"/>
          <w:szCs w:val="22"/>
        </w:rPr>
      </w:pPr>
    </w:p>
    <w:p w14:paraId="15ECF6ED" w14:textId="77777777" w:rsidR="00437D53" w:rsidRPr="00E629DB" w:rsidRDefault="00437D53" w:rsidP="00437D53">
      <w:pPr>
        <w:pStyle w:val="ListParagraph"/>
        <w:numPr>
          <w:ilvl w:val="0"/>
          <w:numId w:val="27"/>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Piemērotā </w:t>
      </w:r>
      <w:r w:rsidRPr="00E629DB">
        <w:rPr>
          <w:rFonts w:ascii="Times New Roman" w:eastAsia="Times New Roman" w:hAnsi="Times New Roman" w:cs="Times New Roman"/>
          <w:i/>
          <w:sz w:val="22"/>
          <w:szCs w:val="22"/>
          <w:lang w:bidi="lv-LV"/>
        </w:rPr>
        <w:t xml:space="preserve">DA SEC </w:t>
      </w:r>
      <w:r w:rsidRPr="00E629DB">
        <w:rPr>
          <w:rFonts w:ascii="Times New Roman" w:eastAsia="Times New Roman" w:hAnsi="Times New Roman" w:cs="Times New Roman"/>
          <w:sz w:val="22"/>
          <w:szCs w:val="22"/>
          <w:lang w:bidi="lv-LV"/>
        </w:rPr>
        <w:t>metodika radīs šādus iznākumus par katru tirgus laika vienību:</w:t>
      </w:r>
    </w:p>
    <w:p w14:paraId="3EC98C95" w14:textId="77777777" w:rsidR="00437D53" w:rsidRDefault="00437D53" w:rsidP="00437D53">
      <w:pPr>
        <w:pStyle w:val="ListParagraph"/>
        <w:numPr>
          <w:ilvl w:val="0"/>
          <w:numId w:val="28"/>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plānoto apmaiņu starp tirdzniecības zonām;</w:t>
      </w:r>
    </w:p>
    <w:p w14:paraId="55230998" w14:textId="77777777" w:rsidR="00437D53" w:rsidRDefault="00437D53" w:rsidP="00437D53">
      <w:pPr>
        <w:pStyle w:val="ListParagraph"/>
        <w:numPr>
          <w:ilvl w:val="0"/>
          <w:numId w:val="28"/>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plānoto apmaiņu starp grafiku sagatavošanas zonām;</w:t>
      </w:r>
    </w:p>
    <w:p w14:paraId="3C33E16A" w14:textId="77777777" w:rsidR="00437D53" w:rsidRDefault="00437D53" w:rsidP="00437D53">
      <w:pPr>
        <w:pStyle w:val="ListParagraph"/>
        <w:numPr>
          <w:ilvl w:val="0"/>
          <w:numId w:val="28"/>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plānoto apmaiņu starp NETO tirdzniecības platformām.</w:t>
      </w:r>
    </w:p>
    <w:p w14:paraId="2D5B6724" w14:textId="77777777" w:rsidR="00437D53" w:rsidRPr="00E629DB" w:rsidRDefault="00437D53" w:rsidP="00437D53">
      <w:pPr>
        <w:pStyle w:val="ListParagraph"/>
        <w:jc w:val="both"/>
        <w:rPr>
          <w:rFonts w:ascii="Times New Roman" w:hAnsi="Times New Roman" w:cs="Times New Roman"/>
          <w:sz w:val="22"/>
          <w:szCs w:val="22"/>
        </w:rPr>
      </w:pPr>
    </w:p>
    <w:p w14:paraId="26909C6F" w14:textId="77777777" w:rsidR="00437D53" w:rsidRPr="00E629DB" w:rsidRDefault="00437D53" w:rsidP="00437D53">
      <w:pPr>
        <w:pStyle w:val="ListParagraph"/>
        <w:numPr>
          <w:ilvl w:val="0"/>
          <w:numId w:val="27"/>
        </w:numPr>
        <w:jc w:val="both"/>
        <w:rPr>
          <w:rFonts w:ascii="Times New Roman" w:hAnsi="Times New Roman" w:cs="Times New Roman"/>
          <w:sz w:val="22"/>
          <w:szCs w:val="22"/>
        </w:rPr>
      </w:pPr>
      <w:r w:rsidRPr="00E629DB">
        <w:rPr>
          <w:rFonts w:ascii="Times New Roman" w:eastAsia="Times New Roman" w:hAnsi="Times New Roman" w:cs="Times New Roman"/>
          <w:i/>
          <w:sz w:val="22"/>
          <w:szCs w:val="22"/>
          <w:lang w:bidi="lv-LV"/>
        </w:rPr>
        <w:t xml:space="preserve">DA SEC </w:t>
      </w:r>
      <w:r w:rsidRPr="00E629DB">
        <w:rPr>
          <w:rFonts w:ascii="Times New Roman" w:eastAsia="Times New Roman" w:hAnsi="Times New Roman" w:cs="Times New Roman"/>
          <w:sz w:val="22"/>
          <w:szCs w:val="22"/>
          <w:lang w:bidi="lv-LV"/>
        </w:rPr>
        <w:t xml:space="preserve">metodikas piemērošanas joma neiekļauj konkrēto pušu funkciju un pienākumu noteikšanu. Arī konkrēto funkciju un pienākumu pārvaldības ietvars ir ārpus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priekšlikuma piemērošanas jomas. Šos aspektus, ja nepieciešams, nosaka PSO saskaņā ar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8. panta 2. punkta g) apakšpunktu.</w:t>
      </w:r>
    </w:p>
    <w:p w14:paraId="14CE0553" w14:textId="77777777" w:rsidR="00437D53" w:rsidRDefault="00437D53" w:rsidP="00437D53">
      <w:pPr>
        <w:widowControl/>
        <w:spacing w:after="160" w:line="259" w:lineRule="auto"/>
      </w:pPr>
      <w:r>
        <w:rPr>
          <w:lang w:bidi="lv-LV"/>
        </w:rPr>
        <w:br w:type="page"/>
      </w:r>
    </w:p>
    <w:p w14:paraId="3EAF0111" w14:textId="77777777" w:rsidR="00437D53" w:rsidRPr="00E629DB" w:rsidRDefault="00437D53" w:rsidP="00437D53">
      <w:pPr>
        <w:pStyle w:val="Heading11"/>
        <w:keepNext/>
        <w:keepLines/>
        <w:shd w:val="clear" w:color="auto" w:fill="auto"/>
        <w:spacing w:line="254" w:lineRule="auto"/>
      </w:pPr>
      <w:bookmarkStart w:id="9" w:name="bookmark6"/>
      <w:bookmarkStart w:id="10" w:name="bookmark7"/>
      <w:bookmarkStart w:id="11" w:name="_Toc346715"/>
      <w:r w:rsidRPr="00E629DB">
        <w:rPr>
          <w:lang w:bidi="lv-LV"/>
        </w:rPr>
        <w:lastRenderedPageBreak/>
        <w:t>2. pants. Definīcijas un interpretācija</w:t>
      </w:r>
      <w:bookmarkEnd w:id="9"/>
      <w:bookmarkEnd w:id="10"/>
      <w:bookmarkEnd w:id="11"/>
    </w:p>
    <w:p w14:paraId="5AC8C0B1" w14:textId="77777777" w:rsidR="00437D53" w:rsidRDefault="00437D53" w:rsidP="00437D53">
      <w:pPr>
        <w:pStyle w:val="ListParagraph"/>
        <w:numPr>
          <w:ilvl w:val="0"/>
          <w:numId w:val="29"/>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Šajā </w:t>
      </w:r>
      <w:r w:rsidRPr="00E629DB">
        <w:rPr>
          <w:rFonts w:ascii="Times New Roman" w:eastAsia="Times New Roman" w:hAnsi="Times New Roman" w:cs="Times New Roman"/>
          <w:i/>
          <w:sz w:val="22"/>
          <w:szCs w:val="22"/>
          <w:lang w:bidi="lv-LV"/>
        </w:rPr>
        <w:t xml:space="preserve">DA SEC </w:t>
      </w:r>
      <w:r w:rsidRPr="00E629DB">
        <w:rPr>
          <w:rFonts w:ascii="Times New Roman" w:eastAsia="Times New Roman" w:hAnsi="Times New Roman" w:cs="Times New Roman"/>
          <w:sz w:val="22"/>
          <w:szCs w:val="22"/>
          <w:lang w:bidi="lv-LV"/>
        </w:rPr>
        <w:t xml:space="preserve">priekšlikumā lietotos terminus lieto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2. pantā, Komisijas Regulās (ES) Nr. 543/2013 un (ES) 1227/2011, kā arī Komisijas Regulas (ES) Nr. 2017/1485 3. pantā tiem piešķirtajās nozīmēs, izņemot "grafiku sagatavošanas zonas" definīciju. Papildus piemēro arī šādas definīcijas:</w:t>
      </w:r>
    </w:p>
    <w:p w14:paraId="62952622" w14:textId="77777777" w:rsidR="00437D53" w:rsidRPr="00E629DB" w:rsidRDefault="00437D53" w:rsidP="00437D53">
      <w:pPr>
        <w:pStyle w:val="ListParagraph"/>
        <w:jc w:val="both"/>
        <w:rPr>
          <w:rFonts w:ascii="Times New Roman" w:hAnsi="Times New Roman" w:cs="Times New Roman"/>
          <w:sz w:val="22"/>
          <w:szCs w:val="22"/>
        </w:rPr>
      </w:pPr>
    </w:p>
    <w:p w14:paraId="0EE4CC68" w14:textId="77777777" w:rsidR="00437D53" w:rsidRDefault="00437D53" w:rsidP="00437D53">
      <w:pPr>
        <w:pStyle w:val="ListParagraph"/>
        <w:numPr>
          <w:ilvl w:val="0"/>
          <w:numId w:val="30"/>
        </w:numPr>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 xml:space="preserve">"NETO tirdzniecības platforma" – terminu lieto nozīmē, kas tam ir piešķirta noteikumos vai metodikās saskaņā ar </w:t>
      </w:r>
      <w:r w:rsidRPr="003552C9">
        <w:rPr>
          <w:rFonts w:ascii="Times New Roman" w:eastAsia="Times New Roman" w:hAnsi="Times New Roman" w:cs="Times New Roman"/>
          <w:i/>
          <w:sz w:val="22"/>
          <w:szCs w:val="22"/>
          <w:lang w:bidi="lv-LV"/>
        </w:rPr>
        <w:t>CACM</w:t>
      </w:r>
      <w:r w:rsidRPr="003552C9">
        <w:rPr>
          <w:rFonts w:ascii="Times New Roman" w:eastAsia="Times New Roman" w:hAnsi="Times New Roman" w:cs="Times New Roman"/>
          <w:sz w:val="22"/>
          <w:szCs w:val="22"/>
          <w:lang w:bidi="lv-LV"/>
        </w:rPr>
        <w:t xml:space="preserve"> regulas 37. un 45. pantu;</w:t>
      </w:r>
    </w:p>
    <w:p w14:paraId="7A827464" w14:textId="2286309E" w:rsidR="00437D53" w:rsidRDefault="00437D53" w:rsidP="00437D53">
      <w:pPr>
        <w:pStyle w:val="ListParagraph"/>
        <w:numPr>
          <w:ilvl w:val="0"/>
          <w:numId w:val="30"/>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"grafiku sagatavošanas zona" – grafiku sagatavošanas zona saskaņā ar Regulas (ES) Nr. 2017/1485 3. panta 2. punkta 91) apakšpunktu ar vismaz vienu NETO tirdzniecība platformu</w:t>
      </w:r>
      <w:r w:rsidR="00172922">
        <w:rPr>
          <w:rStyle w:val="FootnoteReference"/>
          <w:rFonts w:ascii="Times New Roman" w:eastAsia="Times New Roman" w:hAnsi="Times New Roman" w:cs="Times New Roman"/>
          <w:sz w:val="22"/>
          <w:szCs w:val="22"/>
          <w:lang w:bidi="lv-LV"/>
        </w:rPr>
        <w:footnoteReference w:id="1"/>
      </w:r>
      <w:r w:rsidRPr="00E629DB">
        <w:rPr>
          <w:rFonts w:ascii="Times New Roman" w:eastAsia="Times New Roman" w:hAnsi="Times New Roman" w:cs="Times New Roman"/>
          <w:sz w:val="22"/>
          <w:szCs w:val="22"/>
          <w:lang w:bidi="lv-LV"/>
        </w:rPr>
        <w:t>;</w:t>
      </w:r>
    </w:p>
    <w:p w14:paraId="79B80C85" w14:textId="77777777" w:rsidR="00437D53" w:rsidRDefault="00437D53" w:rsidP="00437D53">
      <w:pPr>
        <w:pStyle w:val="ListParagraph"/>
        <w:numPr>
          <w:ilvl w:val="0"/>
          <w:numId w:val="30"/>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"plānotā apmaiņa starp NETO tirdzniecības platformām" ir "plānotā elektroenerģijas pārnese starp NETO tirdzniecības platformām, kas darbojas vienā vai vairākās grafiku sagatavošanas zonās vai tirdzniecības zonās", kā definēts Energoregulatoru sadarbības aģentūras </w:t>
      </w:r>
      <w:r w:rsidRPr="00E629DB">
        <w:rPr>
          <w:rFonts w:ascii="Times New Roman" w:eastAsia="Times New Roman" w:hAnsi="Times New Roman" w:cs="Times New Roman"/>
          <w:i/>
          <w:sz w:val="22"/>
          <w:szCs w:val="22"/>
          <w:lang w:bidi="lv-LV"/>
        </w:rPr>
        <w:t>(ACER)</w:t>
      </w:r>
      <w:r w:rsidRPr="00E629DB">
        <w:rPr>
          <w:rFonts w:ascii="Times New Roman" w:eastAsia="Times New Roman" w:hAnsi="Times New Roman" w:cs="Times New Roman"/>
          <w:sz w:val="22"/>
          <w:szCs w:val="22"/>
          <w:lang w:bidi="lv-LV"/>
        </w:rPr>
        <w:t xml:space="preserve"> Lēmumā Nr. 08/2018 par visu NETO priekšlikumu par cenas sasaistīšanas algoritmu un nepārtrauktas tirdzniecības savietošanas algoritmu;</w:t>
      </w:r>
    </w:p>
    <w:p w14:paraId="24C5559C" w14:textId="77777777" w:rsidR="00437D53" w:rsidRDefault="00437D53" w:rsidP="00437D53">
      <w:pPr>
        <w:pStyle w:val="ListParagraph"/>
        <w:numPr>
          <w:ilvl w:val="0"/>
          <w:numId w:val="30"/>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terminu "neto finanšu risks" lieto šā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priekšlikuma 9. panta 2. punktā tam piešķirtajā nozīmē.</w:t>
      </w:r>
    </w:p>
    <w:p w14:paraId="41720EEC" w14:textId="77777777" w:rsidR="00437D53" w:rsidRPr="00E629DB" w:rsidRDefault="00437D53" w:rsidP="00437D53">
      <w:pPr>
        <w:pStyle w:val="ListParagraph"/>
        <w:jc w:val="both"/>
        <w:rPr>
          <w:rFonts w:ascii="Times New Roman" w:hAnsi="Times New Roman" w:cs="Times New Roman"/>
          <w:sz w:val="22"/>
          <w:szCs w:val="22"/>
        </w:rPr>
      </w:pPr>
    </w:p>
    <w:p w14:paraId="4FB357FD" w14:textId="77777777" w:rsidR="00437D53" w:rsidRDefault="00437D53" w:rsidP="00437D53">
      <w:pPr>
        <w:pStyle w:val="ListParagraph"/>
        <w:numPr>
          <w:ilvl w:val="0"/>
          <w:numId w:val="29"/>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Termins "plānotā apmaiņa" ir definēts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2. pantā. </w:t>
      </w:r>
      <w:r w:rsidRPr="00E629DB">
        <w:rPr>
          <w:rFonts w:ascii="Times New Roman" w:eastAsia="Times New Roman" w:hAnsi="Times New Roman" w:cs="Times New Roman"/>
          <w:i/>
          <w:sz w:val="22"/>
          <w:szCs w:val="22"/>
          <w:lang w:bidi="lv-LV"/>
        </w:rPr>
        <w:t xml:space="preserve">DA SEC </w:t>
      </w:r>
      <w:r w:rsidRPr="00E629DB">
        <w:rPr>
          <w:rFonts w:ascii="Times New Roman" w:eastAsia="Times New Roman" w:hAnsi="Times New Roman" w:cs="Times New Roman"/>
          <w:sz w:val="22"/>
          <w:szCs w:val="22"/>
          <w:lang w:bidi="lv-LV"/>
        </w:rPr>
        <w:t xml:space="preserve">priekšlikuma izpratnē termins "ģeogrāfiskais apgabals" iekļauj gan grafiku sagatavošanas zonu, gan tirdzniecības zonu. Jēdziens "NETO tirdzniecības platforma" ir nepieciešams, lai nodrošinātu pēcpārdošanas tirgus sasaistīšanas procesu pienācīgu funkcionēšanu tirgus norēķinu režīmos, kuros vienā tirdzniecības zonā vai grafiku sagatavošanas zonā darbojas vairāki NETO saskaņā ar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45. pantā noteiktajām prasībām.</w:t>
      </w:r>
    </w:p>
    <w:p w14:paraId="2E436019" w14:textId="77777777" w:rsidR="00437D53" w:rsidRDefault="00437D53" w:rsidP="00437D53">
      <w:pPr>
        <w:pStyle w:val="ListParagraph"/>
        <w:jc w:val="both"/>
        <w:rPr>
          <w:rFonts w:ascii="Times New Roman" w:hAnsi="Times New Roman" w:cs="Times New Roman"/>
          <w:sz w:val="22"/>
          <w:szCs w:val="22"/>
        </w:rPr>
      </w:pPr>
    </w:p>
    <w:p w14:paraId="69CA7B17" w14:textId="77777777" w:rsidR="00437D53" w:rsidRDefault="00437D53" w:rsidP="00437D53">
      <w:pPr>
        <w:pStyle w:val="ListParagraph"/>
        <w:numPr>
          <w:ilvl w:val="0"/>
          <w:numId w:val="29"/>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Šajā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priekšlikumā, ja vien no konteksta neizriet citādi:</w:t>
      </w:r>
    </w:p>
    <w:p w14:paraId="17E123A9" w14:textId="77777777" w:rsidR="00437D53" w:rsidRPr="00E629DB" w:rsidRDefault="00437D53" w:rsidP="00437D53">
      <w:pPr>
        <w:jc w:val="both"/>
        <w:rPr>
          <w:rFonts w:ascii="Times New Roman" w:hAnsi="Times New Roman" w:cs="Times New Roman"/>
          <w:sz w:val="22"/>
          <w:szCs w:val="22"/>
        </w:rPr>
      </w:pPr>
    </w:p>
    <w:p w14:paraId="3321B900" w14:textId="77777777" w:rsidR="00437D53" w:rsidRDefault="00437D53" w:rsidP="00437D53">
      <w:pPr>
        <w:pStyle w:val="ListParagraph"/>
        <w:numPr>
          <w:ilvl w:val="0"/>
          <w:numId w:val="31"/>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lietotos terminus piemēro </w:t>
      </w:r>
      <w:r w:rsidRPr="00E629DB">
        <w:rPr>
          <w:rFonts w:ascii="Times New Roman" w:eastAsia="Times New Roman" w:hAnsi="Times New Roman" w:cs="Times New Roman"/>
          <w:i/>
          <w:sz w:val="22"/>
          <w:szCs w:val="22"/>
          <w:lang w:bidi="lv-LV"/>
        </w:rPr>
        <w:t>SDAC</w:t>
      </w:r>
      <w:r w:rsidRPr="00E629DB">
        <w:rPr>
          <w:rFonts w:ascii="Times New Roman" w:eastAsia="Times New Roman" w:hAnsi="Times New Roman" w:cs="Times New Roman"/>
          <w:sz w:val="22"/>
          <w:szCs w:val="22"/>
          <w:lang w:bidi="lv-LV"/>
        </w:rPr>
        <w:t xml:space="preserve"> kontekstā;</w:t>
      </w:r>
    </w:p>
    <w:p w14:paraId="2FC30E17" w14:textId="77777777" w:rsidR="00437D53" w:rsidRDefault="00437D53" w:rsidP="00437D53">
      <w:pPr>
        <w:pStyle w:val="ListParagraph"/>
        <w:numPr>
          <w:ilvl w:val="0"/>
          <w:numId w:val="31"/>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saturs un virsraksti ir paredzēti tikai ērtākai lietošanai un neietekmē šīs metodikas interpretāciju; un</w:t>
      </w:r>
    </w:p>
    <w:p w14:paraId="69006112" w14:textId="77777777" w:rsidR="00437D53" w:rsidRDefault="00437D53" w:rsidP="00437D53">
      <w:pPr>
        <w:pStyle w:val="ListParagraph"/>
        <w:numPr>
          <w:ilvl w:val="0"/>
          <w:numId w:val="31"/>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jebkāda atsauce uz tiesību aktiem, regulām, direktīvu, rīkojumu, tiesību instrumentu, kodeksu vai jebkādu citu normatīvo aktu iekļauj arī jebkurus tā grozījumus, paplašinājumus vai atkārtotu ieviešanu, kas ir spēkā attiecīgajā laikā.</w:t>
      </w:r>
    </w:p>
    <w:p w14:paraId="4E98CBC6" w14:textId="77777777" w:rsidR="00437D53" w:rsidRPr="00E629DB" w:rsidRDefault="00437D53" w:rsidP="00437D53">
      <w:pPr>
        <w:ind w:left="360"/>
        <w:jc w:val="both"/>
        <w:rPr>
          <w:rFonts w:ascii="Times New Roman" w:hAnsi="Times New Roman" w:cs="Times New Roman"/>
          <w:sz w:val="22"/>
          <w:szCs w:val="22"/>
        </w:rPr>
      </w:pPr>
    </w:p>
    <w:p w14:paraId="56CE5BC5" w14:textId="77777777" w:rsidR="00437D53" w:rsidRPr="00E629DB" w:rsidRDefault="00437D53" w:rsidP="00437D53">
      <w:pPr>
        <w:pStyle w:val="Heading11"/>
        <w:keepNext/>
        <w:keepLines/>
        <w:shd w:val="clear" w:color="auto" w:fill="auto"/>
        <w:spacing w:line="254" w:lineRule="auto"/>
      </w:pPr>
      <w:bookmarkStart w:id="12" w:name="bookmark8"/>
      <w:bookmarkStart w:id="13" w:name="bookmark9"/>
      <w:bookmarkStart w:id="14" w:name="_Toc346716"/>
      <w:r w:rsidRPr="00E629DB">
        <w:rPr>
          <w:lang w:bidi="lv-LV"/>
        </w:rPr>
        <w:t>3. pants. Plānotās apmaiņas aprēķinātājs</w:t>
      </w:r>
      <w:bookmarkEnd w:id="12"/>
      <w:bookmarkEnd w:id="13"/>
      <w:bookmarkEnd w:id="14"/>
    </w:p>
    <w:p w14:paraId="45A38389" w14:textId="77777777" w:rsidR="00437D53" w:rsidRDefault="00437D53" w:rsidP="00437D53">
      <w:pPr>
        <w:pStyle w:val="ListParagraph"/>
        <w:numPr>
          <w:ilvl w:val="0"/>
          <w:numId w:val="32"/>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Plānotās apmaiņas aprēķināšana veidos neatņemamu daļu cenas sasaistīšanas algoritma saskaņā ar </w:t>
      </w:r>
      <w:r w:rsidRPr="00E629DB">
        <w:rPr>
          <w:rFonts w:ascii="Times New Roman" w:eastAsia="Times New Roman" w:hAnsi="Times New Roman" w:cs="Times New Roman"/>
          <w:i/>
          <w:sz w:val="22"/>
          <w:szCs w:val="22"/>
          <w:lang w:bidi="lv-LV"/>
        </w:rPr>
        <w:t>ACER</w:t>
      </w:r>
      <w:r w:rsidRPr="00E629DB">
        <w:rPr>
          <w:rFonts w:ascii="Times New Roman" w:eastAsia="Times New Roman" w:hAnsi="Times New Roman" w:cs="Times New Roman"/>
          <w:sz w:val="22"/>
          <w:szCs w:val="22"/>
          <w:lang w:bidi="lv-LV"/>
        </w:rPr>
        <w:t xml:space="preserve"> Lēmumu Nr. 08/2018 ar visu NETO priekšlikumu par cenas sasaistīšanas algoritmu un nepārtrauktas tirdzniecības savietošanas algoritmu. Līdz ar to plānotās apmaiņas aprēķinātājs piemēro cenas sasaistīšanas algoritma metodikā noteiktās prasības saskaņā ar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37. panta 5. punktu.</w:t>
      </w:r>
    </w:p>
    <w:p w14:paraId="2CF9F8FC" w14:textId="77777777" w:rsidR="00437D53" w:rsidRPr="00E629DB" w:rsidRDefault="00437D53" w:rsidP="00437D53">
      <w:pPr>
        <w:ind w:left="90"/>
        <w:jc w:val="both"/>
        <w:rPr>
          <w:rFonts w:ascii="Times New Roman" w:hAnsi="Times New Roman" w:cs="Times New Roman"/>
          <w:sz w:val="18"/>
          <w:szCs w:val="22"/>
        </w:rPr>
      </w:pPr>
      <w:r w:rsidRPr="00E629DB">
        <w:rPr>
          <w:rFonts w:ascii="Times New Roman" w:eastAsia="Times New Roman" w:hAnsi="Times New Roman" w:cs="Times New Roman"/>
          <w:sz w:val="18"/>
          <w:szCs w:val="22"/>
          <w:lang w:bidi="lv-LV"/>
        </w:rPr>
        <w:t>_________________________</w:t>
      </w:r>
    </w:p>
    <w:p w14:paraId="6267FCCF" w14:textId="77777777" w:rsidR="00437D53" w:rsidRPr="003552C9" w:rsidRDefault="00437D53" w:rsidP="00437D53">
      <w:pPr>
        <w:widowControl/>
        <w:spacing w:after="160" w:line="259" w:lineRule="auto"/>
        <w:rPr>
          <w:rFonts w:ascii="Times New Roman" w:hAnsi="Times New Roman" w:cs="Times New Roman"/>
          <w:sz w:val="22"/>
          <w:szCs w:val="22"/>
        </w:rPr>
      </w:pPr>
      <w:r>
        <w:rPr>
          <w:rFonts w:ascii="Times New Roman" w:eastAsia="Times New Roman" w:hAnsi="Times New Roman" w:cs="Times New Roman"/>
          <w:sz w:val="22"/>
          <w:szCs w:val="22"/>
          <w:lang w:bidi="lv-LV"/>
        </w:rPr>
        <w:br w:type="page"/>
      </w:r>
    </w:p>
    <w:p w14:paraId="4A5A87A9" w14:textId="77777777" w:rsidR="00437D53" w:rsidRPr="00E629DB" w:rsidRDefault="00437D53" w:rsidP="00437D53">
      <w:pPr>
        <w:pStyle w:val="ListParagraph"/>
        <w:numPr>
          <w:ilvl w:val="0"/>
          <w:numId w:val="32"/>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lastRenderedPageBreak/>
        <w:t xml:space="preserve">Visi NETO sniedz šādu no </w:t>
      </w:r>
      <w:r w:rsidRPr="00E629DB">
        <w:rPr>
          <w:rFonts w:ascii="Times New Roman" w:eastAsia="Times New Roman" w:hAnsi="Times New Roman" w:cs="Times New Roman"/>
          <w:i/>
          <w:sz w:val="22"/>
          <w:szCs w:val="22"/>
          <w:lang w:bidi="lv-LV"/>
        </w:rPr>
        <w:t>SDAC</w:t>
      </w:r>
      <w:r w:rsidRPr="00E629DB">
        <w:rPr>
          <w:rFonts w:ascii="Times New Roman" w:eastAsia="Times New Roman" w:hAnsi="Times New Roman" w:cs="Times New Roman"/>
          <w:sz w:val="22"/>
          <w:szCs w:val="22"/>
          <w:lang w:bidi="lv-LV"/>
        </w:rPr>
        <w:t xml:space="preserve"> izrietošu informāciju, ievērojot algoritma metodiku un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43. panta 2. punktu, visiem PSO, par katru tirgus laika vienību:</w:t>
      </w:r>
    </w:p>
    <w:p w14:paraId="0E133EE8"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neto pozīcija katrā tirdzniecības zonā;</w:t>
      </w:r>
    </w:p>
    <w:p w14:paraId="1360FBF6"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neto pozīcija katrā grafiku sagatavošanas zonā;</w:t>
      </w:r>
    </w:p>
    <w:p w14:paraId="0AAED041"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neto pozīcija katrā NETO tirdzniecības platformā;</w:t>
      </w:r>
    </w:p>
    <w:p w14:paraId="6F7816D1"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vienota klīringa cena katrai tirdzniecības zonai, ko izsaka EUR/MWh;</w:t>
      </w:r>
    </w:p>
    <w:p w14:paraId="6D103B85"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plānotā apmaiņa katras tirdzniecības zonas robežai, starp grafiku sagatavošanas zonām un starp NETO tirdzniecības platformām; un</w:t>
      </w:r>
    </w:p>
    <w:p w14:paraId="22C8573A" w14:textId="77777777" w:rsidR="00437D53" w:rsidRDefault="00437D53" w:rsidP="00437D53">
      <w:pPr>
        <w:pStyle w:val="ListParagraph"/>
        <w:numPr>
          <w:ilvl w:val="0"/>
          <w:numId w:val="33"/>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ja nepieciešams, plānotā apmaiņa uz un no atsevišķiem attiecīgiem augstsprieguma līdzstrāvas starpsavienotājiem (starpība starp ienākošo/izejošo plānoto apmaiņu, ja nepieciešams, atspoguļojot zaudējumus).</w:t>
      </w:r>
    </w:p>
    <w:p w14:paraId="7AC713EC" w14:textId="77777777" w:rsidR="00437D53" w:rsidRPr="00E629DB" w:rsidRDefault="00437D53" w:rsidP="00437D53">
      <w:pPr>
        <w:ind w:left="360"/>
        <w:jc w:val="both"/>
        <w:rPr>
          <w:rFonts w:ascii="Times New Roman" w:hAnsi="Times New Roman" w:cs="Times New Roman"/>
          <w:sz w:val="22"/>
          <w:szCs w:val="22"/>
        </w:rPr>
      </w:pPr>
    </w:p>
    <w:p w14:paraId="42544C5B" w14:textId="77777777" w:rsidR="00437D53" w:rsidRDefault="00437D53" w:rsidP="00437D53">
      <w:pPr>
        <w:pStyle w:val="ListParagraph"/>
        <w:numPr>
          <w:ilvl w:val="0"/>
          <w:numId w:val="32"/>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3. panta 2. punkta e) un f) apakšpunktā minētā informācija ir nepieciešana, lai nodrošinātu saderīgu plānotās apmaiņas aprēķināšanu starp dažādiem jaudas aprēķināšanas reģioniem (turpmāk tekstā – "JAR") un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45. pantā paredzēto pasākumu īstenošanu.</w:t>
      </w:r>
    </w:p>
    <w:p w14:paraId="37021035" w14:textId="77777777" w:rsidR="00437D53" w:rsidRPr="00E629DB" w:rsidRDefault="00437D53" w:rsidP="00437D53">
      <w:pPr>
        <w:jc w:val="both"/>
        <w:rPr>
          <w:rFonts w:ascii="Times New Roman" w:hAnsi="Times New Roman" w:cs="Times New Roman"/>
          <w:sz w:val="22"/>
          <w:szCs w:val="22"/>
        </w:rPr>
      </w:pPr>
    </w:p>
    <w:p w14:paraId="6534903A" w14:textId="77777777" w:rsidR="00437D53" w:rsidRDefault="00437D53" w:rsidP="00437D53">
      <w:pPr>
        <w:pStyle w:val="ListParagraph"/>
        <w:numPr>
          <w:ilvl w:val="0"/>
          <w:numId w:val="32"/>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PSO izstrādā </w:t>
      </w:r>
      <w:r w:rsidRPr="00E629DB">
        <w:rPr>
          <w:rFonts w:ascii="Times New Roman" w:eastAsia="Times New Roman" w:hAnsi="Times New Roman" w:cs="Times New Roman"/>
          <w:i/>
          <w:sz w:val="22"/>
          <w:szCs w:val="22"/>
          <w:lang w:bidi="lv-LV"/>
        </w:rPr>
        <w:t>SDAC</w:t>
      </w:r>
      <w:r w:rsidRPr="00E629DB">
        <w:rPr>
          <w:rFonts w:ascii="Times New Roman" w:eastAsia="Times New Roman" w:hAnsi="Times New Roman" w:cs="Times New Roman"/>
          <w:sz w:val="22"/>
          <w:szCs w:val="22"/>
          <w:lang w:bidi="lv-LV"/>
        </w:rPr>
        <w:t xml:space="preserve"> atbilstošas pārvaldības funkcionalitātes plānotās apmaiņas aprēķinātājam, saskaņojot to ar visiem NETO.</w:t>
      </w:r>
    </w:p>
    <w:p w14:paraId="2C8DEC25" w14:textId="77777777" w:rsidR="00437D53" w:rsidRPr="00E629DB" w:rsidRDefault="00437D53" w:rsidP="00437D53">
      <w:pPr>
        <w:pStyle w:val="ListParagraph"/>
        <w:rPr>
          <w:rFonts w:ascii="Times New Roman" w:hAnsi="Times New Roman" w:cs="Times New Roman"/>
          <w:sz w:val="22"/>
          <w:szCs w:val="22"/>
        </w:rPr>
      </w:pPr>
    </w:p>
    <w:p w14:paraId="5BA91092" w14:textId="25569071" w:rsidR="00437D53" w:rsidRDefault="00437D53" w:rsidP="00437D53">
      <w:pPr>
        <w:pStyle w:val="ListParagraph"/>
        <w:numPr>
          <w:ilvl w:val="0"/>
          <w:numId w:val="32"/>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Plānotās apmaiņas aprēķinātājs paziņo par </w:t>
      </w:r>
      <w:r w:rsidRPr="00E629DB">
        <w:rPr>
          <w:rFonts w:ascii="Times New Roman" w:eastAsia="Times New Roman" w:hAnsi="Times New Roman" w:cs="Times New Roman"/>
          <w:i/>
          <w:sz w:val="22"/>
          <w:szCs w:val="22"/>
          <w:lang w:bidi="lv-LV"/>
        </w:rPr>
        <w:t>DA</w:t>
      </w:r>
      <w:r w:rsidRPr="00E629DB">
        <w:rPr>
          <w:rFonts w:ascii="Times New Roman" w:eastAsia="Times New Roman" w:hAnsi="Times New Roman" w:cs="Times New Roman"/>
          <w:sz w:val="22"/>
          <w:szCs w:val="22"/>
          <w:lang w:bidi="lv-LV"/>
        </w:rPr>
        <w:t xml:space="preserve"> plānotās apmaiņas aprēķināšanas rezultātiem līdz plkst. 13.00 normālas darbības režīmā un cenšas tos iesniegt pirms </w:t>
      </w:r>
      <w:r w:rsidR="00DE1D69">
        <w:rPr>
          <w:rFonts w:ascii="Times New Roman" w:eastAsia="Times New Roman" w:hAnsi="Times New Roman" w:cs="Times New Roman"/>
          <w:sz w:val="22"/>
          <w:szCs w:val="22"/>
          <w:lang w:bidi="lv-LV"/>
        </w:rPr>
        <w:t>tekošās</w:t>
      </w:r>
      <w:r w:rsidR="00DE1D69" w:rsidRPr="00E629DB">
        <w:rPr>
          <w:rFonts w:ascii="Times New Roman" w:eastAsia="Times New Roman" w:hAnsi="Times New Roman" w:cs="Times New Roman"/>
          <w:sz w:val="22"/>
          <w:szCs w:val="22"/>
          <w:lang w:bidi="lv-LV"/>
        </w:rPr>
        <w:t xml:space="preserve"> </w:t>
      </w:r>
      <w:r w:rsidRPr="00E629DB">
        <w:rPr>
          <w:rFonts w:ascii="Times New Roman" w:eastAsia="Times New Roman" w:hAnsi="Times New Roman" w:cs="Times New Roman"/>
          <w:sz w:val="22"/>
          <w:szCs w:val="22"/>
          <w:lang w:bidi="lv-LV"/>
        </w:rPr>
        <w:t xml:space="preserve">dienas tirgus atvēršanas laika tā, lai varētu pabeigt nākamās dienas pēcsasaistīšanas norises. Ja par tirgus sasaistīšanas rezultātiem rodas jebkādas neskaidrības, plānotās apmaiņas aprēķinātājs paziņo par rezultātiem ne vēlāk kā plkst. 15.30 pēc nākamās dienas tirgus laika saskaņā ar </w:t>
      </w:r>
      <w:r w:rsidRPr="00E629DB">
        <w:rPr>
          <w:rFonts w:ascii="Times New Roman" w:eastAsia="Times New Roman" w:hAnsi="Times New Roman" w:cs="Times New Roman"/>
          <w:i/>
          <w:sz w:val="22"/>
          <w:szCs w:val="22"/>
          <w:lang w:bidi="lv-LV"/>
        </w:rPr>
        <w:t>CACM</w:t>
      </w:r>
      <w:r w:rsidRPr="00E629DB">
        <w:rPr>
          <w:rFonts w:ascii="Times New Roman" w:eastAsia="Times New Roman" w:hAnsi="Times New Roman" w:cs="Times New Roman"/>
          <w:sz w:val="22"/>
          <w:szCs w:val="22"/>
          <w:lang w:bidi="lv-LV"/>
        </w:rPr>
        <w:t xml:space="preserve"> regulas 43. panta 2. punktu</w:t>
      </w:r>
      <w:bookmarkStart w:id="15" w:name="bookmark12"/>
      <w:r w:rsidRPr="00E629DB">
        <w:rPr>
          <w:rFonts w:ascii="Times New Roman" w:eastAsia="Times New Roman" w:hAnsi="Times New Roman" w:cs="Times New Roman"/>
          <w:sz w:val="22"/>
          <w:szCs w:val="22"/>
          <w:lang w:bidi="lv-LV"/>
        </w:rPr>
        <w:t>.</w:t>
      </w:r>
      <w:bookmarkEnd w:id="15"/>
    </w:p>
    <w:p w14:paraId="7FED95AA" w14:textId="77777777" w:rsidR="00437D53" w:rsidRPr="00E629DB" w:rsidRDefault="00437D53" w:rsidP="00437D53">
      <w:pPr>
        <w:jc w:val="both"/>
        <w:rPr>
          <w:rFonts w:ascii="Times New Roman" w:hAnsi="Times New Roman" w:cs="Times New Roman"/>
          <w:sz w:val="22"/>
          <w:szCs w:val="22"/>
        </w:rPr>
      </w:pPr>
    </w:p>
    <w:p w14:paraId="589398C9" w14:textId="77777777" w:rsidR="00437D53" w:rsidRPr="00E629DB" w:rsidRDefault="00437D53" w:rsidP="00437D53">
      <w:pPr>
        <w:pStyle w:val="Heading11"/>
        <w:keepNext/>
        <w:keepLines/>
        <w:shd w:val="clear" w:color="auto" w:fill="auto"/>
        <w:spacing w:line="254" w:lineRule="auto"/>
      </w:pPr>
      <w:bookmarkStart w:id="16" w:name="bookmark13"/>
      <w:bookmarkStart w:id="17" w:name="bookmark14"/>
      <w:bookmarkStart w:id="18" w:name="_Toc346717"/>
      <w:r w:rsidRPr="00E629DB">
        <w:rPr>
          <w:lang w:bidi="lv-LV"/>
        </w:rPr>
        <w:t>4. pants. Plānotās apmaiņas aprēķināšanas vispārīgie principi</w:t>
      </w:r>
      <w:bookmarkEnd w:id="16"/>
      <w:bookmarkEnd w:id="17"/>
      <w:bookmarkEnd w:id="18"/>
    </w:p>
    <w:p w14:paraId="315944F1" w14:textId="77777777" w:rsidR="00437D53" w:rsidRDefault="00437D53" w:rsidP="00437D53">
      <w:pPr>
        <w:pStyle w:val="ListParagraph"/>
        <w:numPr>
          <w:ilvl w:val="0"/>
          <w:numId w:val="34"/>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Plānotās apmaiņas aprēķinātājs aprēķina plānoto apmaiņu starp tirdzniecības zonām, grafiku sagatavošanas zonām un NETO tirdzniecības platformām, kā definēts šajā metodikā un ievērojot šādus principus:</w:t>
      </w:r>
    </w:p>
    <w:p w14:paraId="48B696EF" w14:textId="77777777" w:rsidR="00437D53" w:rsidRPr="00E629DB" w:rsidRDefault="00437D53" w:rsidP="00437D53">
      <w:pPr>
        <w:pStyle w:val="ListParagraph"/>
        <w:jc w:val="both"/>
        <w:rPr>
          <w:rFonts w:ascii="Times New Roman" w:hAnsi="Times New Roman" w:cs="Times New Roman"/>
          <w:sz w:val="22"/>
          <w:szCs w:val="22"/>
        </w:rPr>
      </w:pPr>
    </w:p>
    <w:p w14:paraId="1FC9304F" w14:textId="77777777" w:rsidR="00437D53" w:rsidRDefault="00437D53" w:rsidP="00437D53">
      <w:pPr>
        <w:pStyle w:val="ListParagraph"/>
        <w:numPr>
          <w:ilvl w:val="0"/>
          <w:numId w:val="35"/>
        </w:numPr>
        <w:jc w:val="both"/>
        <w:rPr>
          <w:rFonts w:ascii="Times New Roman" w:hAnsi="Times New Roman" w:cs="Times New Roman"/>
          <w:sz w:val="22"/>
          <w:szCs w:val="22"/>
        </w:rPr>
      </w:pPr>
      <w:r w:rsidRPr="00E629DB">
        <w:rPr>
          <w:rFonts w:ascii="Times New Roman" w:eastAsia="Times New Roman" w:hAnsi="Times New Roman" w:cs="Times New Roman"/>
          <w:i/>
          <w:sz w:val="22"/>
          <w:szCs w:val="22"/>
          <w:lang w:bidi="lv-LV"/>
        </w:rPr>
        <w:t>DA</w:t>
      </w:r>
      <w:r w:rsidRPr="00E629DB">
        <w:rPr>
          <w:rFonts w:ascii="Times New Roman" w:eastAsia="Times New Roman" w:hAnsi="Times New Roman" w:cs="Times New Roman"/>
          <w:sz w:val="22"/>
          <w:szCs w:val="22"/>
          <w:lang w:bidi="lv-LV"/>
        </w:rPr>
        <w:t xml:space="preserve"> plānoto apmaiņu aprēķina tikai un vienīgi plānotās apmaiņas aprēķinātājs;</w:t>
      </w:r>
    </w:p>
    <w:p w14:paraId="044F063E" w14:textId="77777777" w:rsidR="00437D53" w:rsidRDefault="00437D53" w:rsidP="00437D53">
      <w:pPr>
        <w:pStyle w:val="ListParagraph"/>
        <w:ind w:left="1440"/>
        <w:jc w:val="both"/>
        <w:rPr>
          <w:rFonts w:ascii="Times New Roman" w:hAnsi="Times New Roman" w:cs="Times New Roman"/>
          <w:sz w:val="22"/>
          <w:szCs w:val="22"/>
        </w:rPr>
      </w:pPr>
    </w:p>
    <w:p w14:paraId="66AF2D32" w14:textId="77777777" w:rsidR="00437D53" w:rsidRDefault="00437D53" w:rsidP="00437D53">
      <w:pPr>
        <w:pStyle w:val="ListParagraph"/>
        <w:numPr>
          <w:ilvl w:val="0"/>
          <w:numId w:val="35"/>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plānotās apmaiņas aprēķinātājs veic</w:t>
      </w:r>
      <w:r w:rsidRPr="00E629DB">
        <w:rPr>
          <w:rFonts w:ascii="Times New Roman" w:eastAsia="Times New Roman" w:hAnsi="Times New Roman" w:cs="Times New Roman"/>
          <w:i/>
          <w:sz w:val="22"/>
          <w:szCs w:val="22"/>
          <w:lang w:bidi="lv-LV"/>
        </w:rPr>
        <w:t xml:space="preserve"> DA</w:t>
      </w:r>
      <w:r w:rsidRPr="00E629DB">
        <w:rPr>
          <w:rFonts w:ascii="Times New Roman" w:eastAsia="Times New Roman" w:hAnsi="Times New Roman" w:cs="Times New Roman"/>
          <w:sz w:val="22"/>
          <w:szCs w:val="22"/>
          <w:lang w:bidi="lv-LV"/>
        </w:rPr>
        <w:t xml:space="preserve"> plānotās apmaiņas aprēķināšanu tā, lai tiktu ievēroti šā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priekšlikuma 5. pantā minētie ierobežojumi;</w:t>
      </w:r>
    </w:p>
    <w:p w14:paraId="6965CB9A" w14:textId="77777777" w:rsidR="00437D53" w:rsidRPr="00E629DB" w:rsidRDefault="00437D53" w:rsidP="00437D53">
      <w:pPr>
        <w:jc w:val="both"/>
        <w:rPr>
          <w:rFonts w:ascii="Times New Roman" w:hAnsi="Times New Roman" w:cs="Times New Roman"/>
          <w:sz w:val="22"/>
          <w:szCs w:val="22"/>
        </w:rPr>
      </w:pPr>
    </w:p>
    <w:p w14:paraId="0140B721" w14:textId="77777777" w:rsidR="00437D53" w:rsidRDefault="00437D53" w:rsidP="00437D53">
      <w:pPr>
        <w:pStyle w:val="ListParagraph"/>
        <w:numPr>
          <w:ilvl w:val="0"/>
          <w:numId w:val="35"/>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šā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priekšlikuma 6., 7. un 8. pantā aprakstītā </w:t>
      </w:r>
      <w:r w:rsidRPr="00E629DB">
        <w:rPr>
          <w:rFonts w:ascii="Times New Roman" w:eastAsia="Times New Roman" w:hAnsi="Times New Roman" w:cs="Times New Roman"/>
          <w:i/>
          <w:sz w:val="22"/>
          <w:szCs w:val="22"/>
          <w:lang w:bidi="lv-LV"/>
        </w:rPr>
        <w:t>DA</w:t>
      </w:r>
      <w:r w:rsidRPr="00E629DB">
        <w:rPr>
          <w:rFonts w:ascii="Times New Roman" w:eastAsia="Times New Roman" w:hAnsi="Times New Roman" w:cs="Times New Roman"/>
          <w:sz w:val="22"/>
          <w:szCs w:val="22"/>
          <w:lang w:bidi="lv-LV"/>
        </w:rPr>
        <w:t xml:space="preserve"> plānotās apmaiņas aprēķināšana pamatojas uz tirdzniecības zonu, grafiku sagatavošanas zonu un NETO tirdzniecības platformu neto pozīciju;</w:t>
      </w:r>
    </w:p>
    <w:p w14:paraId="2ABE1AD9" w14:textId="77777777" w:rsidR="00437D53" w:rsidRPr="00E629DB" w:rsidRDefault="00437D53" w:rsidP="00437D53">
      <w:pPr>
        <w:jc w:val="both"/>
        <w:rPr>
          <w:rFonts w:ascii="Times New Roman" w:hAnsi="Times New Roman" w:cs="Times New Roman"/>
          <w:sz w:val="22"/>
          <w:szCs w:val="22"/>
        </w:rPr>
      </w:pPr>
    </w:p>
    <w:p w14:paraId="5A18B09A" w14:textId="77777777" w:rsidR="00437D53" w:rsidRDefault="00437D53" w:rsidP="00437D53">
      <w:pPr>
        <w:pStyle w:val="ListParagraph"/>
        <w:numPr>
          <w:ilvl w:val="0"/>
          <w:numId w:val="35"/>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 xml:space="preserve">pārrobežu augstsprieguma līdzstrāvas starpsavienotājiem JAR robežās, kuriem piemēro plūsmbalstītu metodi un kur apmaiņas ietekmi uz augstsprieguma līdzstrāvas starpsavienotāju ņem vērā plūsmbalstītās jaudas piešķiršanas laikā, plānotā apmaiņa attiecīgās tirdzniecības zonas robežās var atšķirties no plūsmbalstītām neto pozīcijām virtuālajā platformā, ko lieto augstsprieguma līdzstrāvas starpsavienotāja modelēšanai, lai nodrošinātu optimālu risinājumu saskaņā ar šo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priekšlikumu. Ja to attiecīgi konfigurē, tas dod iespēju balstīt aprēķināšanu tikai uz grafiku sagatavošanas zonas un tirdzniecības zonas neto pozīcijām, ierobežojumu kopumu un plānoto apmaiņu uz attiecīgās tirdzniecības zonas robežām (kā citiem </w:t>
      </w:r>
      <w:r w:rsidRPr="00E629DB">
        <w:rPr>
          <w:rFonts w:ascii="Times New Roman" w:eastAsia="Times New Roman" w:hAnsi="Times New Roman" w:cs="Times New Roman"/>
          <w:sz w:val="22"/>
          <w:szCs w:val="22"/>
          <w:lang w:bidi="lv-LV"/>
        </w:rPr>
        <w:lastRenderedPageBreak/>
        <w:t>maiņstrāvas starpsavienotājiem);</w:t>
      </w:r>
    </w:p>
    <w:p w14:paraId="003BEB03" w14:textId="77777777" w:rsidR="00437D53" w:rsidRPr="00E629DB" w:rsidRDefault="00437D53" w:rsidP="00437D53">
      <w:pPr>
        <w:pStyle w:val="ListParagraph"/>
        <w:rPr>
          <w:rFonts w:ascii="Times New Roman" w:hAnsi="Times New Roman" w:cs="Times New Roman"/>
          <w:sz w:val="22"/>
          <w:szCs w:val="22"/>
        </w:rPr>
      </w:pPr>
    </w:p>
    <w:p w14:paraId="15B392D5" w14:textId="77777777" w:rsidR="00437D53" w:rsidRDefault="00437D53" w:rsidP="00437D53">
      <w:pPr>
        <w:pStyle w:val="ListParagraph"/>
        <w:numPr>
          <w:ilvl w:val="0"/>
          <w:numId w:val="35"/>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plānotā apmaiņa starp tirdzniecības zonām, ja vienā tirdzniecības zonā ir vairākas grafiku sagatavošanas zonas, ir konsekventa, proti, plānoto apmaiņu aprēķina plānotās apmaiņas aprēķinātājs un plānotās apmaiņas summa uz attiecīgajai tirdzniecības zonai atbilstošo grafiku sagatavošanas zonu robežām ir vienāda ar plānoto apmaiņu uz attiecīgās grafiku sagatavošanas zonas robežas.</w:t>
      </w:r>
    </w:p>
    <w:p w14:paraId="2514A676" w14:textId="77777777" w:rsidR="00437D53" w:rsidRPr="00E629DB" w:rsidRDefault="00437D53" w:rsidP="00437D53">
      <w:pPr>
        <w:jc w:val="both"/>
        <w:rPr>
          <w:rFonts w:ascii="Times New Roman" w:hAnsi="Times New Roman" w:cs="Times New Roman"/>
          <w:sz w:val="22"/>
          <w:szCs w:val="22"/>
        </w:rPr>
      </w:pPr>
    </w:p>
    <w:p w14:paraId="2442BDBD" w14:textId="77777777" w:rsidR="00437D53" w:rsidRPr="00E629DB" w:rsidRDefault="00437D53" w:rsidP="00DC1007">
      <w:pPr>
        <w:pStyle w:val="Heading11"/>
        <w:keepNext/>
        <w:keepLines/>
        <w:shd w:val="clear" w:color="auto" w:fill="auto"/>
        <w:spacing w:line="254" w:lineRule="auto"/>
      </w:pPr>
      <w:bookmarkStart w:id="19" w:name="bookmark16"/>
      <w:bookmarkStart w:id="20" w:name="bookmark17"/>
      <w:bookmarkStart w:id="21" w:name="bookmark15"/>
      <w:bookmarkStart w:id="22" w:name="_Toc346718"/>
      <w:r w:rsidRPr="00DC1007">
        <w:rPr>
          <w:lang w:bidi="lv-LV"/>
        </w:rPr>
        <w:t xml:space="preserve">5. pants. Metodika, ar kuru aprēķina no </w:t>
      </w:r>
      <w:r w:rsidRPr="00DC1007">
        <w:rPr>
          <w:i/>
          <w:lang w:bidi="lv-LV"/>
        </w:rPr>
        <w:t>SDAC</w:t>
      </w:r>
      <w:r w:rsidRPr="00DC1007">
        <w:rPr>
          <w:lang w:bidi="lv-LV"/>
        </w:rPr>
        <w:t xml:space="preserve"> izrietošo plānoto apmaiņu starp tirdzniecības zonām, grafiku sagatavošanas zonām un NETO tirdzniecības platformām</w:t>
      </w:r>
      <w:bookmarkEnd w:id="19"/>
      <w:bookmarkEnd w:id="20"/>
      <w:bookmarkEnd w:id="21"/>
      <w:bookmarkEnd w:id="22"/>
    </w:p>
    <w:p w14:paraId="2F75C28B" w14:textId="77777777" w:rsidR="00437D53" w:rsidRDefault="00437D53" w:rsidP="00437D53">
      <w:pPr>
        <w:pStyle w:val="ListParagraph"/>
        <w:numPr>
          <w:ilvl w:val="0"/>
          <w:numId w:val="36"/>
        </w:numPr>
        <w:jc w:val="both"/>
        <w:rPr>
          <w:rFonts w:ascii="Times New Roman" w:hAnsi="Times New Roman" w:cs="Times New Roman"/>
          <w:sz w:val="22"/>
          <w:szCs w:val="22"/>
        </w:rPr>
      </w:pPr>
      <w:r w:rsidRPr="00E629DB">
        <w:rPr>
          <w:rFonts w:ascii="Times New Roman" w:eastAsia="Times New Roman" w:hAnsi="Times New Roman" w:cs="Times New Roman"/>
          <w:i/>
          <w:sz w:val="22"/>
          <w:szCs w:val="22"/>
          <w:lang w:bidi="lv-LV"/>
        </w:rPr>
        <w:t xml:space="preserve">DA SEC </w:t>
      </w:r>
      <w:r w:rsidRPr="00E629DB">
        <w:rPr>
          <w:rFonts w:ascii="Times New Roman" w:eastAsia="Times New Roman" w:hAnsi="Times New Roman" w:cs="Times New Roman"/>
          <w:sz w:val="22"/>
          <w:szCs w:val="22"/>
          <w:lang w:bidi="lv-LV"/>
        </w:rPr>
        <w:t xml:space="preserve">metodika pamatojas uz pakāpenisku </w:t>
      </w:r>
      <w:r w:rsidRPr="00E629DB">
        <w:rPr>
          <w:rFonts w:ascii="Times New Roman" w:eastAsia="Times New Roman" w:hAnsi="Times New Roman" w:cs="Times New Roman"/>
          <w:i/>
          <w:sz w:val="22"/>
          <w:szCs w:val="22"/>
          <w:lang w:bidi="lv-LV"/>
        </w:rPr>
        <w:t>DA</w:t>
      </w:r>
      <w:r w:rsidRPr="00E629DB">
        <w:rPr>
          <w:rFonts w:ascii="Times New Roman" w:eastAsia="Times New Roman" w:hAnsi="Times New Roman" w:cs="Times New Roman"/>
          <w:sz w:val="22"/>
          <w:szCs w:val="22"/>
          <w:lang w:bidi="lv-LV"/>
        </w:rPr>
        <w:t xml:space="preserve"> plānotās apmaiņas aprēķināšanu. Plānotās apmaiņas aprēķinātājs ievēro šā </w:t>
      </w:r>
      <w:r w:rsidRPr="00E629DB">
        <w:rPr>
          <w:rFonts w:ascii="Times New Roman" w:eastAsia="Times New Roman" w:hAnsi="Times New Roman" w:cs="Times New Roman"/>
          <w:i/>
          <w:sz w:val="22"/>
          <w:szCs w:val="22"/>
          <w:lang w:bidi="lv-LV"/>
        </w:rPr>
        <w:t>DA SEC</w:t>
      </w:r>
      <w:r w:rsidRPr="00E629DB">
        <w:rPr>
          <w:rFonts w:ascii="Times New Roman" w:eastAsia="Times New Roman" w:hAnsi="Times New Roman" w:cs="Times New Roman"/>
          <w:sz w:val="22"/>
          <w:szCs w:val="22"/>
          <w:lang w:bidi="lv-LV"/>
        </w:rPr>
        <w:t xml:space="preserve"> priekšlikuma 4. pantā noteiktos principus.</w:t>
      </w:r>
    </w:p>
    <w:p w14:paraId="53B521E4" w14:textId="77777777" w:rsidR="00437D53" w:rsidRDefault="00437D53" w:rsidP="00437D53">
      <w:pPr>
        <w:pStyle w:val="ListParagraph"/>
        <w:ind w:left="1080"/>
        <w:jc w:val="both"/>
        <w:rPr>
          <w:rFonts w:ascii="Times New Roman" w:hAnsi="Times New Roman" w:cs="Times New Roman"/>
          <w:sz w:val="22"/>
          <w:szCs w:val="22"/>
        </w:rPr>
      </w:pPr>
    </w:p>
    <w:p w14:paraId="66E20809" w14:textId="77777777" w:rsidR="00437D53" w:rsidRPr="00E629DB" w:rsidRDefault="00437D53" w:rsidP="00437D53">
      <w:pPr>
        <w:pStyle w:val="ListParagraph"/>
        <w:numPr>
          <w:ilvl w:val="0"/>
          <w:numId w:val="36"/>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Aprēķināšanu veic katrai tirgus laika vienībai:</w:t>
      </w:r>
    </w:p>
    <w:p w14:paraId="085B23CE" w14:textId="77777777" w:rsidR="00437D53" w:rsidRDefault="00437D53" w:rsidP="00437D53">
      <w:pPr>
        <w:ind w:left="720"/>
        <w:jc w:val="both"/>
        <w:rPr>
          <w:rFonts w:ascii="Times New Roman" w:hAnsi="Times New Roman" w:cs="Times New Roman"/>
          <w:sz w:val="22"/>
          <w:szCs w:val="22"/>
        </w:rPr>
      </w:pPr>
    </w:p>
    <w:p w14:paraId="2B7943D8" w14:textId="722BB6EC" w:rsidR="00437D53" w:rsidRDefault="00437D53" w:rsidP="00437D53">
      <w:pPr>
        <w:pStyle w:val="ListParagraph"/>
        <w:numPr>
          <w:ilvl w:val="0"/>
          <w:numId w:val="37"/>
        </w:numPr>
        <w:jc w:val="both"/>
        <w:rPr>
          <w:rFonts w:ascii="Times New Roman" w:hAnsi="Times New Roman" w:cs="Times New Roman"/>
          <w:sz w:val="22"/>
          <w:szCs w:val="22"/>
        </w:rPr>
      </w:pPr>
      <w:r w:rsidRPr="00E629DB">
        <w:rPr>
          <w:rFonts w:ascii="Times New Roman" w:eastAsia="Times New Roman" w:hAnsi="Times New Roman" w:cs="Times New Roman"/>
          <w:sz w:val="22"/>
          <w:szCs w:val="22"/>
          <w:lang w:bidi="lv-LV"/>
        </w:rPr>
        <w:t>plānotās apmaiņas aprēķinātājs aprēķina attiecīgo plānoto apmaiņu pakāpeniski trim dažādiem līmeņiem (tirdzniecības zonas, grafiku sagatavošanas zonas un NETO tirdzniecības platformas);</w:t>
      </w:r>
    </w:p>
    <w:p w14:paraId="662C7D2C" w14:textId="77777777" w:rsidR="00437D53" w:rsidRDefault="00437D53" w:rsidP="00437D53">
      <w:pPr>
        <w:pStyle w:val="ListParagraph"/>
        <w:numPr>
          <w:ilvl w:val="0"/>
          <w:numId w:val="37"/>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katrā turpmākajā posmā tiek ņemti vērā iepriekšējā posma iznākuma radītie ierobežojumi;</w:t>
      </w:r>
    </w:p>
    <w:p w14:paraId="53CAFAAB" w14:textId="77777777" w:rsidR="00437D53" w:rsidRDefault="00437D53" w:rsidP="00437D53">
      <w:pPr>
        <w:pStyle w:val="ListParagraph"/>
        <w:numPr>
          <w:ilvl w:val="0"/>
          <w:numId w:val="37"/>
        </w:numPr>
        <w:jc w:val="both"/>
        <w:rPr>
          <w:rFonts w:ascii="Times New Roman" w:hAnsi="Times New Roman" w:cs="Times New Roman"/>
          <w:sz w:val="22"/>
          <w:szCs w:val="22"/>
        </w:rPr>
      </w:pPr>
      <w:r w:rsidRPr="00C46A15">
        <w:rPr>
          <w:rFonts w:ascii="Times New Roman" w:eastAsia="Times New Roman" w:hAnsi="Times New Roman" w:cs="Times New Roman"/>
          <w:i/>
          <w:sz w:val="22"/>
          <w:szCs w:val="22"/>
          <w:lang w:bidi="lv-LV"/>
        </w:rPr>
        <w:t>DA</w:t>
      </w:r>
      <w:r w:rsidRPr="00C46A15">
        <w:rPr>
          <w:rFonts w:ascii="Times New Roman" w:eastAsia="Times New Roman" w:hAnsi="Times New Roman" w:cs="Times New Roman"/>
          <w:sz w:val="22"/>
          <w:szCs w:val="22"/>
          <w:lang w:bidi="lv-LV"/>
        </w:rPr>
        <w:t xml:space="preserve"> plānotās apmaiņas aprēķināšanā starp tirdzniecības zonām ievēro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6. pantā aprakstītos principus;</w:t>
      </w:r>
    </w:p>
    <w:p w14:paraId="2CFF4B5D" w14:textId="77777777" w:rsidR="00437D53" w:rsidRDefault="00437D53" w:rsidP="00437D53">
      <w:pPr>
        <w:pStyle w:val="ListParagraph"/>
        <w:numPr>
          <w:ilvl w:val="0"/>
          <w:numId w:val="37"/>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plānotās apmaiņas aprēķināšanā starp grafiku sagatavošanas zonām ievēro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7. pantā aprakstītos principus;</w:t>
      </w:r>
    </w:p>
    <w:p w14:paraId="58FAEF13" w14:textId="77777777" w:rsidR="00437D53" w:rsidRDefault="00437D53" w:rsidP="00437D53">
      <w:pPr>
        <w:pStyle w:val="ListParagraph"/>
        <w:numPr>
          <w:ilvl w:val="0"/>
          <w:numId w:val="37"/>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plānotās apmaiņas aprēķināšanā starp NETO tirdzniecības platformām ievēro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8. pantā aprakstītos principus; un</w:t>
      </w:r>
    </w:p>
    <w:p w14:paraId="2DB27FE6" w14:textId="77777777" w:rsidR="00437D53" w:rsidRDefault="00437D53" w:rsidP="00437D53">
      <w:pPr>
        <w:pStyle w:val="ListParagraph"/>
        <w:numPr>
          <w:ilvl w:val="0"/>
          <w:numId w:val="37"/>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plānoto apmaiņu vienmēr aprēķina konkrētā virzienā, proti, plānotā apmaiņa no/uz.</w:t>
      </w:r>
    </w:p>
    <w:p w14:paraId="33E165C9" w14:textId="77777777" w:rsidR="00437D53" w:rsidRPr="00C46A15" w:rsidRDefault="00437D53" w:rsidP="00437D53">
      <w:pPr>
        <w:ind w:left="720"/>
        <w:jc w:val="both"/>
        <w:rPr>
          <w:rFonts w:ascii="Times New Roman" w:hAnsi="Times New Roman" w:cs="Times New Roman"/>
          <w:sz w:val="22"/>
          <w:szCs w:val="22"/>
        </w:rPr>
      </w:pPr>
    </w:p>
    <w:p w14:paraId="557FD87F" w14:textId="64E0CFE9" w:rsidR="00437D53" w:rsidRPr="00DC1007" w:rsidRDefault="00437D53" w:rsidP="00DC1007">
      <w:pPr>
        <w:pStyle w:val="Heading11"/>
        <w:keepNext/>
        <w:keepLines/>
        <w:shd w:val="clear" w:color="auto" w:fill="auto"/>
        <w:spacing w:line="254" w:lineRule="auto"/>
      </w:pPr>
      <w:bookmarkStart w:id="23" w:name="bookmark18"/>
      <w:bookmarkStart w:id="24" w:name="bookmark19"/>
      <w:bookmarkStart w:id="25" w:name="_Toc346719"/>
      <w:r w:rsidRPr="00DC1007">
        <w:rPr>
          <w:lang w:bidi="lv-LV"/>
        </w:rPr>
        <w:t>6. pants. Plānotās apmaiņas aprēķināšana starp tirdzniecības zonām</w:t>
      </w:r>
      <w:bookmarkStart w:id="26" w:name="bookmark20"/>
      <w:bookmarkEnd w:id="23"/>
      <w:bookmarkEnd w:id="24"/>
      <w:bookmarkEnd w:id="25"/>
    </w:p>
    <w:p w14:paraId="24A15209"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Plānotās apmaiņas aprēķinātājs aprēķina plānoto apmaiņu starp tirdzniecības zonām, pamatojoties uz visu NETO saskaņā ar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3. pantu iesniegtajām tirdzniecības zonu neto pozīcijām.</w:t>
      </w:r>
      <w:bookmarkEnd w:id="26"/>
    </w:p>
    <w:p w14:paraId="5BD4EB33" w14:textId="77777777" w:rsidR="00437D53" w:rsidRPr="00C46A15" w:rsidRDefault="00437D53" w:rsidP="00437D53">
      <w:pPr>
        <w:jc w:val="both"/>
        <w:rPr>
          <w:rFonts w:ascii="Times New Roman" w:hAnsi="Times New Roman" w:cs="Times New Roman"/>
          <w:sz w:val="22"/>
          <w:szCs w:val="22"/>
        </w:rPr>
      </w:pPr>
    </w:p>
    <w:p w14:paraId="124FEBC1"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Šajā pantā paredzētās aprēķināšanas izpratnē tirdzniecības zonas robežas veido tirdzniecības zonu robežu kopums un, ja nepieciešams, atsevišķi augstsprieguma līdzstrāvas starpsavienotāji, kas tika ņemti vērā </w:t>
      </w:r>
      <w:r w:rsidRPr="00C46A15">
        <w:rPr>
          <w:rFonts w:ascii="Times New Roman" w:eastAsia="Times New Roman" w:hAnsi="Times New Roman" w:cs="Times New Roman"/>
          <w:i/>
          <w:sz w:val="22"/>
          <w:szCs w:val="22"/>
          <w:lang w:bidi="lv-LV"/>
        </w:rPr>
        <w:t>SDAC</w:t>
      </w:r>
      <w:r w:rsidRPr="00C46A15">
        <w:rPr>
          <w:rFonts w:ascii="Times New Roman" w:eastAsia="Times New Roman" w:hAnsi="Times New Roman" w:cs="Times New Roman"/>
          <w:sz w:val="22"/>
          <w:szCs w:val="22"/>
          <w:lang w:bidi="lv-LV"/>
        </w:rPr>
        <w:t>.</w:t>
      </w:r>
    </w:p>
    <w:p w14:paraId="1F1417FE" w14:textId="77777777" w:rsidR="00437D53" w:rsidRPr="00C46A15" w:rsidRDefault="00437D53" w:rsidP="00437D53">
      <w:pPr>
        <w:jc w:val="both"/>
        <w:rPr>
          <w:rFonts w:ascii="Times New Roman" w:hAnsi="Times New Roman" w:cs="Times New Roman"/>
          <w:sz w:val="22"/>
          <w:szCs w:val="22"/>
        </w:rPr>
      </w:pPr>
    </w:p>
    <w:p w14:paraId="60E92CAF"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Apsverot koordinētas neto pārvades jaudas (turpmāk tekstā – "KNPJ") metodi, ja pastāv cenu starpība starp divām tirdzniecības zonām, – vai nu pieejamā jauda tika pilnībā izmantota, vai arī bija spēkā cits jaudas piešķiršanas ierobežojums (piem., lineāro izmaiņu (strauja samazinājuma) ierobežojums). Līdz ar to plānotās apmaiņas aprēķinātājs ņem vērā spēkā esošo jaudas piešķiršanas ierobežojumu.</w:t>
      </w:r>
    </w:p>
    <w:p w14:paraId="6C64255D" w14:textId="77777777" w:rsidR="00437D53" w:rsidRPr="00C46A15" w:rsidRDefault="00437D53" w:rsidP="00437D53">
      <w:pPr>
        <w:pStyle w:val="ListParagraph"/>
        <w:rPr>
          <w:rFonts w:ascii="Times New Roman" w:hAnsi="Times New Roman" w:cs="Times New Roman"/>
          <w:sz w:val="22"/>
          <w:szCs w:val="22"/>
        </w:rPr>
      </w:pPr>
    </w:p>
    <w:p w14:paraId="58FA6149" w14:textId="2D05721C" w:rsidR="00437D53" w:rsidRPr="00F508AC"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Ja pārrobežu jaudu piešķiršana pamatojas uz tirdzniecības zonas neto pozīcijām (piem., plūsmbalstīta metode) vai neskaidrību gadījumos</w:t>
      </w:r>
      <w:r w:rsidR="00172922">
        <w:rPr>
          <w:rStyle w:val="FootnoteReference"/>
          <w:rFonts w:ascii="Times New Roman" w:eastAsia="Times New Roman" w:hAnsi="Times New Roman" w:cs="Times New Roman"/>
          <w:sz w:val="22"/>
          <w:szCs w:val="22"/>
          <w:lang w:bidi="lv-LV"/>
        </w:rPr>
        <w:footnoteReference w:id="2"/>
      </w:r>
      <w:r w:rsidRPr="00C46A15">
        <w:rPr>
          <w:rFonts w:ascii="Times New Roman" w:eastAsia="Times New Roman" w:hAnsi="Times New Roman" w:cs="Times New Roman"/>
          <w:sz w:val="22"/>
          <w:szCs w:val="22"/>
          <w:lang w:bidi="lv-LV"/>
        </w:rPr>
        <w:t xml:space="preserve"> varētu būt iespējami </w:t>
      </w:r>
      <w:r w:rsidRPr="00C46A15">
        <w:rPr>
          <w:rFonts w:ascii="Times New Roman" w:eastAsia="Times New Roman" w:hAnsi="Times New Roman" w:cs="Times New Roman"/>
          <w:sz w:val="22"/>
          <w:szCs w:val="22"/>
          <w:lang w:bidi="lv-LV"/>
        </w:rPr>
        <w:lastRenderedPageBreak/>
        <w:t xml:space="preserve">vairāki risinājumi. Līdz ar to plānotās apmaiņas optimizācijas mērķis ir pēc iespējas mazināt ar plānoto apmaiņu starp iesaistītajām tirdzniecības zonām saistītās izmaksas, ņemot vērā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4. panta 1. punktu. Šāda samazinājuma nolūkā plānoto apmaiņu starp iesaistītajām tirdzniecības zonām izmanto kā mainīgo kopumu, lai mazinātu iegūto mērķa funkciju</w:t>
      </w:r>
      <w:r w:rsidRPr="00C46A15">
        <w:rPr>
          <w:noProof/>
          <w:lang w:eastAsia="lv-LV" w:bidi="ar-SA"/>
        </w:rPr>
        <w:drawing>
          <wp:inline distT="0" distB="0" distL="0" distR="0" wp14:anchorId="58324E22" wp14:editId="1CEC65F1">
            <wp:extent cx="4725059" cy="91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5059" cy="914528"/>
                    </a:xfrm>
                    <a:prstGeom prst="rect">
                      <a:avLst/>
                    </a:prstGeom>
                  </pic:spPr>
                </pic:pic>
              </a:graphicData>
            </a:graphic>
          </wp:inline>
        </w:drawing>
      </w:r>
    </w:p>
    <w:p w14:paraId="18731B24" w14:textId="77777777" w:rsidR="00437D53" w:rsidRPr="003552C9" w:rsidRDefault="00437D53" w:rsidP="00437D53">
      <w:pPr>
        <w:ind w:left="72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kur:</w:t>
      </w:r>
    </w:p>
    <w:p w14:paraId="12E503F4" w14:textId="77777777" w:rsidR="00437D53" w:rsidRDefault="00437D53" w:rsidP="00437D53">
      <w:pPr>
        <w:pStyle w:val="ListParagraph"/>
        <w:numPr>
          <w:ilvl w:val="0"/>
          <w:numId w:val="39"/>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lc</w:t>
      </w:r>
      <w:r w:rsidRPr="00F508AC">
        <w:rPr>
          <w:rFonts w:ascii="Times New Roman" w:eastAsia="Times New Roman" w:hAnsi="Times New Roman" w:cs="Times New Roman"/>
          <w:i/>
          <w:sz w:val="22"/>
          <w:szCs w:val="22"/>
          <w:vertAlign w:val="subscript"/>
          <w:lang w:bidi="lv-LV"/>
        </w:rPr>
        <w:t>i,h</w:t>
      </w:r>
      <w:r w:rsidRPr="00F508AC">
        <w:rPr>
          <w:rFonts w:ascii="Times New Roman" w:eastAsia="Times New Roman" w:hAnsi="Times New Roman" w:cs="Times New Roman"/>
          <w:sz w:val="22"/>
          <w:szCs w:val="22"/>
          <w:lang w:bidi="lv-LV"/>
        </w:rPr>
        <w:t xml:space="preserve"> = ar tirdzniecības zonas robežu i saistītais lineārais izmaksu koeficients tirgus laika vienībai h;</w:t>
      </w:r>
    </w:p>
    <w:p w14:paraId="76D5733E" w14:textId="77777777" w:rsidR="00437D53" w:rsidRDefault="00437D53" w:rsidP="00437D53">
      <w:pPr>
        <w:pStyle w:val="ListParagraph"/>
        <w:numPr>
          <w:ilvl w:val="0"/>
          <w:numId w:val="39"/>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qc</w:t>
      </w:r>
      <w:r w:rsidRPr="00F508AC">
        <w:rPr>
          <w:rFonts w:ascii="Times New Roman" w:eastAsia="Times New Roman" w:hAnsi="Times New Roman" w:cs="Times New Roman"/>
          <w:i/>
          <w:sz w:val="22"/>
          <w:szCs w:val="22"/>
          <w:vertAlign w:val="subscript"/>
          <w:lang w:bidi="lv-LV"/>
        </w:rPr>
        <w:t>i,h</w:t>
      </w:r>
      <w:r w:rsidRPr="00F508AC">
        <w:rPr>
          <w:rFonts w:ascii="Times New Roman" w:eastAsia="Times New Roman" w:hAnsi="Times New Roman" w:cs="Times New Roman"/>
          <w:sz w:val="22"/>
          <w:szCs w:val="22"/>
          <w:lang w:bidi="lv-LV"/>
        </w:rPr>
        <w:t xml:space="preserve"> = ar tirdzniecības zonas robežu i saistītais kvadrātiskais izmaksu koeficients tirgus laika vienībai h;</w:t>
      </w:r>
    </w:p>
    <w:p w14:paraId="75B2F5ED" w14:textId="232BF837" w:rsidR="00437D53" w:rsidRPr="00A622AB" w:rsidRDefault="00437D53" w:rsidP="00437D53">
      <w:pPr>
        <w:pStyle w:val="ListParagraph"/>
        <w:numPr>
          <w:ilvl w:val="0"/>
          <w:numId w:val="39"/>
        </w:numPr>
        <w:jc w:val="both"/>
        <w:rPr>
          <w:rFonts w:ascii="Times New Roman" w:hAnsi="Times New Roman" w:cs="Times New Roman"/>
          <w:sz w:val="22"/>
          <w:szCs w:val="22"/>
        </w:rPr>
      </w:pPr>
      <w:proofErr w:type="spellStart"/>
      <w:r w:rsidRPr="00A622AB">
        <w:rPr>
          <w:rFonts w:ascii="Times New Roman" w:eastAsia="Times New Roman" w:hAnsi="Times New Roman" w:cs="Times New Roman"/>
          <w:i/>
          <w:sz w:val="22"/>
          <w:szCs w:val="22"/>
          <w:lang w:bidi="lv-LV"/>
        </w:rPr>
        <w:t>flow_</w:t>
      </w:r>
      <w:r w:rsidR="00A622AB" w:rsidRPr="00A622AB">
        <w:rPr>
          <w:rFonts w:ascii="Times New Roman" w:eastAsia="Times New Roman" w:hAnsi="Times New Roman" w:cs="Times New Roman"/>
          <w:i/>
          <w:sz w:val="22"/>
          <w:szCs w:val="22"/>
          <w:lang w:bidi="lv-LV"/>
        </w:rPr>
        <w:t>bzb</w:t>
      </w:r>
      <w:proofErr w:type="spellEnd"/>
      <w:r w:rsidRPr="00A622AB">
        <w:rPr>
          <w:rFonts w:ascii="Times New Roman" w:eastAsia="Times New Roman" w:hAnsi="Times New Roman" w:cs="Times New Roman"/>
          <w:i/>
          <w:sz w:val="22"/>
          <w:szCs w:val="22"/>
          <w:vertAlign w:val="subscript"/>
          <w:lang w:bidi="lv-LV"/>
        </w:rPr>
        <w:t xml:space="preserve"> </w:t>
      </w:r>
      <w:proofErr w:type="spellStart"/>
      <w:r w:rsidRPr="00A622AB">
        <w:rPr>
          <w:rFonts w:ascii="Times New Roman" w:eastAsia="Times New Roman" w:hAnsi="Times New Roman" w:cs="Times New Roman"/>
          <w:i/>
          <w:sz w:val="22"/>
          <w:szCs w:val="22"/>
          <w:vertAlign w:val="subscript"/>
          <w:lang w:bidi="lv-LV"/>
        </w:rPr>
        <w:t>i,h</w:t>
      </w:r>
      <w:proofErr w:type="spellEnd"/>
      <w:r w:rsidRPr="00A622AB">
        <w:rPr>
          <w:rFonts w:ascii="Times New Roman" w:eastAsia="Times New Roman" w:hAnsi="Times New Roman" w:cs="Times New Roman"/>
          <w:sz w:val="22"/>
          <w:szCs w:val="22"/>
          <w:lang w:bidi="lv-LV"/>
        </w:rPr>
        <w:t xml:space="preserve"> = plānotā apmaiņa uz tirdzniecības zonas robežas i tirgus laika vienībai h;</w:t>
      </w:r>
    </w:p>
    <w:p w14:paraId="6D916E38" w14:textId="77777777" w:rsidR="00437D53" w:rsidRDefault="00437D53" w:rsidP="00437D53">
      <w:pPr>
        <w:pStyle w:val="ListParagraph"/>
        <w:numPr>
          <w:ilvl w:val="0"/>
          <w:numId w:val="39"/>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n</w:t>
      </w:r>
      <w:r w:rsidRPr="00F508AC">
        <w:rPr>
          <w:rFonts w:ascii="Times New Roman" w:eastAsia="Times New Roman" w:hAnsi="Times New Roman" w:cs="Times New Roman"/>
          <w:sz w:val="22"/>
          <w:szCs w:val="22"/>
          <w:lang w:bidi="lv-LV"/>
        </w:rPr>
        <w:t xml:space="preserve"> = tirdzniecības zonu un atsevišķu augstsprieguma līdzstrāvas starpsavienotāju, kas tiek ņemti vērā optimizācijā, kopējais skaits.</w:t>
      </w:r>
    </w:p>
    <w:p w14:paraId="7F3E548C" w14:textId="77777777" w:rsidR="00437D53" w:rsidRDefault="00437D53" w:rsidP="00437D53">
      <w:pPr>
        <w:jc w:val="both"/>
        <w:rPr>
          <w:rFonts w:ascii="Times New Roman" w:hAnsi="Times New Roman" w:cs="Times New Roman"/>
          <w:sz w:val="22"/>
          <w:szCs w:val="22"/>
        </w:rPr>
      </w:pPr>
    </w:p>
    <w:p w14:paraId="153E88F5"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Ar katras tirdzniecības zonas robežu saistītos izmaksu koeficientus (gan lineāros, gan kvadrātiskos) kā ievades datus sniedz PSO. Izmaksu koeficientus fiksē konkrētā tirgus topoloģijai (tirdzniecības zonu robežu kopumam) un tie nemainās par katru tirgus laika vienību. Izmaksu koeficientus nosaka tā, lai sasniegtu šādus mērķus:</w:t>
      </w:r>
    </w:p>
    <w:p w14:paraId="1B18C97E" w14:textId="77777777" w:rsidR="00437D53" w:rsidRPr="00C46A15" w:rsidRDefault="00437D53" w:rsidP="00437D53">
      <w:pPr>
        <w:pStyle w:val="ListParagraph"/>
        <w:ind w:left="1080"/>
        <w:jc w:val="both"/>
        <w:rPr>
          <w:rFonts w:ascii="Times New Roman" w:hAnsi="Times New Roman" w:cs="Times New Roman"/>
          <w:sz w:val="22"/>
          <w:szCs w:val="22"/>
        </w:rPr>
      </w:pPr>
    </w:p>
    <w:p w14:paraId="20F699E0" w14:textId="77777777" w:rsidR="00437D53" w:rsidRDefault="00437D53" w:rsidP="00437D53">
      <w:pPr>
        <w:pStyle w:val="ListParagraph"/>
        <w:numPr>
          <w:ilvl w:val="0"/>
          <w:numId w:val="40"/>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unikalitāte, ieviešot kvadrātisko izmaksu koeficientu;</w:t>
      </w:r>
    </w:p>
    <w:p w14:paraId="2F79FB92" w14:textId="77777777" w:rsidR="00437D53" w:rsidRDefault="00437D53" w:rsidP="00437D53">
      <w:pPr>
        <w:pStyle w:val="ListParagraph"/>
        <w:ind w:left="1440"/>
        <w:jc w:val="both"/>
        <w:rPr>
          <w:rFonts w:ascii="Times New Roman" w:hAnsi="Times New Roman" w:cs="Times New Roman"/>
          <w:sz w:val="22"/>
          <w:szCs w:val="22"/>
        </w:rPr>
      </w:pPr>
    </w:p>
    <w:p w14:paraId="75B4D7AB" w14:textId="77777777" w:rsidR="00437D53" w:rsidRDefault="00437D53" w:rsidP="00437D53">
      <w:pPr>
        <w:pStyle w:val="ListParagraph"/>
        <w:numPr>
          <w:ilvl w:val="0"/>
          <w:numId w:val="40"/>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īsākā ceļa noteikums, lai nepieļautu cilpas un pēc iespējas mazinātu tranzītus starp tirdzniecības zonām, nosakot lineāro izmaksu koeficientu;</w:t>
      </w:r>
    </w:p>
    <w:p w14:paraId="35C2ADD6" w14:textId="77777777" w:rsidR="00437D53" w:rsidRPr="00C46A15" w:rsidRDefault="00437D53" w:rsidP="00437D53">
      <w:pPr>
        <w:jc w:val="both"/>
        <w:rPr>
          <w:rFonts w:ascii="Times New Roman" w:hAnsi="Times New Roman" w:cs="Times New Roman"/>
          <w:sz w:val="22"/>
          <w:szCs w:val="22"/>
        </w:rPr>
      </w:pPr>
    </w:p>
    <w:p w14:paraId="0893C82E" w14:textId="77777777" w:rsidR="00437D53" w:rsidRDefault="00437D53" w:rsidP="00437D53">
      <w:pPr>
        <w:pStyle w:val="ListParagraph"/>
        <w:numPr>
          <w:ilvl w:val="0"/>
          <w:numId w:val="40"/>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prioritāšu noteikšanas noteikums, lai dotu priekšroku konkrētam ceļam (tirdzniecības zonas robežu kopumam) apmaiņai starp divām tirdzniecības zonām, lai nepieļautu tādu plūsmas maršrutu, kas pazeminās ekonomisko efektivitāti;</w:t>
      </w:r>
    </w:p>
    <w:p w14:paraId="28735398" w14:textId="77777777" w:rsidR="00437D53" w:rsidRPr="00C46A15" w:rsidRDefault="00437D53" w:rsidP="00437D53">
      <w:pPr>
        <w:jc w:val="both"/>
        <w:rPr>
          <w:rFonts w:ascii="Times New Roman" w:hAnsi="Times New Roman" w:cs="Times New Roman"/>
          <w:sz w:val="22"/>
          <w:szCs w:val="22"/>
        </w:rPr>
      </w:pPr>
    </w:p>
    <w:p w14:paraId="6B5AC19D" w14:textId="77777777" w:rsidR="00437D53" w:rsidRDefault="00437D53" w:rsidP="00437D53">
      <w:pPr>
        <w:pStyle w:val="ListParagraph"/>
        <w:numPr>
          <w:ilvl w:val="0"/>
          <w:numId w:val="40"/>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augstsprieguma līdzstrāvas starpsavienotājiem, kuri piemēro zaudējumus </w:t>
      </w:r>
      <w:r w:rsidRPr="00C46A15">
        <w:rPr>
          <w:rFonts w:ascii="Times New Roman" w:eastAsia="Times New Roman" w:hAnsi="Times New Roman" w:cs="Times New Roman"/>
          <w:i/>
          <w:sz w:val="22"/>
          <w:szCs w:val="22"/>
          <w:lang w:bidi="lv-LV"/>
        </w:rPr>
        <w:t>SDAC</w:t>
      </w:r>
      <w:r w:rsidRPr="00C46A15">
        <w:rPr>
          <w:rFonts w:ascii="Times New Roman" w:eastAsia="Times New Roman" w:hAnsi="Times New Roman" w:cs="Times New Roman"/>
          <w:sz w:val="22"/>
          <w:szCs w:val="22"/>
          <w:lang w:bidi="lv-LV"/>
        </w:rPr>
        <w:t>, nosaka augstas vērtības lineāro izmaksu koeficientu, lai nepieļautu nepienācīgu grafiku sagatavošanu ar starpsavienotāja starpniecību;</w:t>
      </w:r>
    </w:p>
    <w:p w14:paraId="13C2843F" w14:textId="77777777" w:rsidR="00437D53" w:rsidRPr="00C46A15" w:rsidRDefault="00437D53" w:rsidP="00437D53">
      <w:pPr>
        <w:jc w:val="both"/>
        <w:rPr>
          <w:rFonts w:ascii="Times New Roman" w:hAnsi="Times New Roman" w:cs="Times New Roman"/>
          <w:sz w:val="22"/>
          <w:szCs w:val="22"/>
        </w:rPr>
      </w:pPr>
    </w:p>
    <w:p w14:paraId="2858210E" w14:textId="38CBD6E4" w:rsidR="00437D53" w:rsidRDefault="00437D53" w:rsidP="00437D53">
      <w:pPr>
        <w:pStyle w:val="ListParagraph"/>
        <w:numPr>
          <w:ilvl w:val="0"/>
          <w:numId w:val="40"/>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ņem vērā tirdzniecības zonu izmēru. To konkrēti tulko tā, ka, attiecīgās tirdzniecības zonas kontekstā, ja tirdzniecības zonas robežai ir ievērojami augstāka vai zemāka siltuma jauda nekā citām tirdzniecības zonas robežām, atbilstoši nosaka attiecīgās tirdzniecības zonas kvadrātisko izmaksu koeficientu (proti, tirdzniecības zonas robežās, kurās ir ierobežota uzstādītā jauda, noteiks augstāku kvadrātisko izmaksu koeficientu).</w:t>
      </w:r>
    </w:p>
    <w:p w14:paraId="57F8EA74" w14:textId="77777777" w:rsidR="00437D53" w:rsidRPr="00C46A15" w:rsidRDefault="00437D53" w:rsidP="00437D53">
      <w:pPr>
        <w:jc w:val="both"/>
        <w:rPr>
          <w:rFonts w:ascii="Times New Roman" w:hAnsi="Times New Roman" w:cs="Times New Roman"/>
          <w:sz w:val="8"/>
          <w:szCs w:val="22"/>
        </w:rPr>
      </w:pPr>
    </w:p>
    <w:p w14:paraId="03475237"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Izmaksu koeficientus nosaka tā, lai optimizācijas gaitā nepieļautu lielu starpību rašanos starp tajā aprēķinātajām plānotās apmaiņas vērtībām, jo īpaši konkrētās tirdzniecības zonas robežās, vienlaicīgi ievērojot 6. panta 5. punktā noteiktos mērķus. Līdz ar to attiecība starp dažādiem izmaksu koeficientiem uz katras </w:t>
      </w:r>
      <w:r w:rsidRPr="00C46A15">
        <w:rPr>
          <w:rFonts w:ascii="Times New Roman" w:eastAsia="Times New Roman" w:hAnsi="Times New Roman" w:cs="Times New Roman"/>
          <w:sz w:val="22"/>
          <w:szCs w:val="22"/>
          <w:lang w:bidi="lv-LV"/>
        </w:rPr>
        <w:lastRenderedPageBreak/>
        <w:t>tirdzniecības zonas robežas ir svarīgāka par izmaksu koeficienta precīzo vērtību.</w:t>
      </w:r>
    </w:p>
    <w:p w14:paraId="6229B4F0" w14:textId="6CF50AE3" w:rsidR="00437D53" w:rsidRDefault="00437D53" w:rsidP="00437D53">
      <w:pPr>
        <w:ind w:left="720"/>
        <w:jc w:val="both"/>
        <w:rPr>
          <w:rFonts w:ascii="Times New Roman" w:eastAsia="Times New Roman" w:hAnsi="Times New Roman" w:cs="Times New Roman"/>
          <w:sz w:val="14"/>
          <w:szCs w:val="22"/>
          <w:lang w:bidi="lv-LV"/>
        </w:rPr>
      </w:pPr>
    </w:p>
    <w:p w14:paraId="0FAF9E0E" w14:textId="5F4F2EAA" w:rsidR="002D1E50" w:rsidRDefault="002D1E50" w:rsidP="00437D53">
      <w:pPr>
        <w:ind w:left="720"/>
        <w:jc w:val="both"/>
        <w:rPr>
          <w:rFonts w:ascii="Times New Roman" w:hAnsi="Times New Roman" w:cs="Times New Roman"/>
          <w:sz w:val="14"/>
          <w:szCs w:val="22"/>
        </w:rPr>
      </w:pPr>
    </w:p>
    <w:p w14:paraId="7BBE16B5" w14:textId="77777777" w:rsidR="002D1E50" w:rsidRPr="00C46A15" w:rsidRDefault="002D1E50" w:rsidP="00437D53">
      <w:pPr>
        <w:ind w:left="720"/>
        <w:jc w:val="both"/>
        <w:rPr>
          <w:rFonts w:ascii="Times New Roman" w:hAnsi="Times New Roman" w:cs="Times New Roman"/>
          <w:sz w:val="14"/>
          <w:szCs w:val="22"/>
        </w:rPr>
      </w:pPr>
    </w:p>
    <w:p w14:paraId="750F346D" w14:textId="52A49DEB" w:rsidR="00437D53" w:rsidRPr="003552C9" w:rsidRDefault="00437D53" w:rsidP="00437D53">
      <w:pPr>
        <w:ind w:left="720"/>
        <w:jc w:val="both"/>
        <w:rPr>
          <w:rFonts w:ascii="Times New Roman" w:hAnsi="Times New Roman" w:cs="Times New Roman"/>
          <w:sz w:val="22"/>
          <w:szCs w:val="22"/>
        </w:rPr>
      </w:pPr>
    </w:p>
    <w:p w14:paraId="635B3740"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JAR, kurās piemēro plūsmbalstītu vai KNPJ metodi, visām robežām JAR ietvaros nosaka vienādus koeficientus (lineāros un kvadrātiskos), ja vien šī metode nepārkāpj 6. panta 5. punktā noteiktos mērķus.</w:t>
      </w:r>
    </w:p>
    <w:p w14:paraId="3D63839E" w14:textId="77777777" w:rsidR="00437D53" w:rsidRPr="00C46A15" w:rsidRDefault="00437D53" w:rsidP="00437D53">
      <w:pPr>
        <w:jc w:val="both"/>
        <w:rPr>
          <w:rFonts w:ascii="Times New Roman" w:hAnsi="Times New Roman" w:cs="Times New Roman"/>
          <w:sz w:val="22"/>
          <w:szCs w:val="22"/>
        </w:rPr>
      </w:pPr>
    </w:p>
    <w:p w14:paraId="2DBD176C"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Ja </w:t>
      </w:r>
      <w:r w:rsidRPr="00C46A15">
        <w:rPr>
          <w:rFonts w:ascii="Times New Roman" w:eastAsia="Times New Roman" w:hAnsi="Times New Roman" w:cs="Times New Roman"/>
          <w:i/>
          <w:sz w:val="22"/>
          <w:szCs w:val="22"/>
          <w:lang w:bidi="lv-LV"/>
        </w:rPr>
        <w:t>SDAC</w:t>
      </w:r>
      <w:r w:rsidRPr="00C46A15">
        <w:rPr>
          <w:rFonts w:ascii="Times New Roman" w:eastAsia="Times New Roman" w:hAnsi="Times New Roman" w:cs="Times New Roman"/>
          <w:sz w:val="22"/>
          <w:szCs w:val="22"/>
          <w:lang w:bidi="lv-LV"/>
        </w:rPr>
        <w:t xml:space="preserve"> pievieno jaunu tirdzniecības zonas robežu vai ja JAR īsteno KNPJ vai plūsmbalstītu metodi, izmaksu koeficientus uz visām JAR tirdzniecības zonas robežām ar blakus esošo(-ajiem) JAR pārskata, lai nodrošinātu atbilstību iepriekšējos pantos noteiktajām prasībām. Par izmaiņām paziņo valsts regulatīvajām iestādēm.</w:t>
      </w:r>
    </w:p>
    <w:p w14:paraId="4A38479A" w14:textId="77777777" w:rsidR="00437D53" w:rsidRPr="00C46A15" w:rsidRDefault="00437D53" w:rsidP="00437D53">
      <w:pPr>
        <w:pStyle w:val="ListParagraph"/>
        <w:rPr>
          <w:rFonts w:ascii="Times New Roman" w:hAnsi="Times New Roman" w:cs="Times New Roman"/>
          <w:sz w:val="22"/>
          <w:szCs w:val="22"/>
        </w:rPr>
      </w:pPr>
    </w:p>
    <w:p w14:paraId="6C1FAFB7"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PSO un NETO regulāri, vismaz reizi divos gados, veic </w:t>
      </w:r>
      <w:r w:rsidRPr="00C46A15">
        <w:rPr>
          <w:rFonts w:ascii="Times New Roman" w:eastAsia="Times New Roman" w:hAnsi="Times New Roman" w:cs="Times New Roman"/>
          <w:i/>
          <w:sz w:val="22"/>
          <w:szCs w:val="22"/>
          <w:lang w:bidi="lv-LV"/>
        </w:rPr>
        <w:t>SDAC</w:t>
      </w:r>
      <w:r w:rsidRPr="00C46A15">
        <w:rPr>
          <w:rFonts w:ascii="Times New Roman" w:eastAsia="Times New Roman" w:hAnsi="Times New Roman" w:cs="Times New Roman"/>
          <w:sz w:val="22"/>
          <w:szCs w:val="22"/>
          <w:lang w:bidi="lv-LV"/>
        </w:rPr>
        <w:t xml:space="preserve"> izmantoto izmaksu koeficientu pārskatīšanu, ievērojot </w:t>
      </w:r>
      <w:r w:rsidRPr="00C46A15">
        <w:rPr>
          <w:rFonts w:ascii="Times New Roman" w:eastAsia="Times New Roman" w:hAnsi="Times New Roman" w:cs="Times New Roman"/>
          <w:i/>
          <w:sz w:val="22"/>
          <w:szCs w:val="22"/>
          <w:lang w:bidi="lv-LV"/>
        </w:rPr>
        <w:t>CACM</w:t>
      </w:r>
      <w:r w:rsidRPr="00C46A15">
        <w:rPr>
          <w:rFonts w:ascii="Times New Roman" w:eastAsia="Times New Roman" w:hAnsi="Times New Roman" w:cs="Times New Roman"/>
          <w:sz w:val="22"/>
          <w:szCs w:val="22"/>
          <w:lang w:bidi="lv-LV"/>
        </w:rPr>
        <w:t xml:space="preserve"> regulas 43. panta 4. punktu. Par jebkādām izmaiņām izmaksu koeficientā paziņo valsts regulatīvajām iestādēm.</w:t>
      </w:r>
    </w:p>
    <w:p w14:paraId="16A4F858" w14:textId="77777777" w:rsidR="00437D53" w:rsidRPr="00C46A15" w:rsidRDefault="00437D53" w:rsidP="00437D53">
      <w:pPr>
        <w:pStyle w:val="ListParagraph"/>
        <w:rPr>
          <w:rFonts w:ascii="Times New Roman" w:hAnsi="Times New Roman" w:cs="Times New Roman"/>
          <w:sz w:val="22"/>
          <w:szCs w:val="22"/>
        </w:rPr>
      </w:pPr>
    </w:p>
    <w:p w14:paraId="51D7FAFF"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Turklāt reģionos, kuros piemēro plūsmbalstītu divpusēju intuitīvo metodi, ir jānodrošina plānotās apmaiņas noteikšana no zemo cenu līdz augsto cenu zonām. Līdz ar to piemēro intuitīvās grafiku sagatavošanas ierobežojumu starp tirdzniecības zonām. Intuitīvās grafiku sagatavošanas ierobežojumu starp tirdzniecības zonu A un tirdzniecības zonu B apraksta šādi:</w:t>
      </w:r>
    </w:p>
    <w:p w14:paraId="65C4D6DC" w14:textId="77777777" w:rsidR="00437D53" w:rsidRPr="00C46A15" w:rsidRDefault="00437D53" w:rsidP="00437D53">
      <w:pPr>
        <w:pStyle w:val="ListParagraph"/>
        <w:jc w:val="center"/>
        <w:rPr>
          <w:rFonts w:ascii="Times New Roman" w:hAnsi="Times New Roman" w:cs="Times New Roman"/>
          <w:i/>
          <w:sz w:val="22"/>
          <w:szCs w:val="22"/>
        </w:rPr>
      </w:pPr>
    </w:p>
    <w:p w14:paraId="4B73A80A" w14:textId="77777777" w:rsidR="00437D53" w:rsidRPr="00C46A15" w:rsidRDefault="00437D53" w:rsidP="00437D53">
      <w:pPr>
        <w:jc w:val="center"/>
        <w:rPr>
          <w:rFonts w:ascii="Times New Roman" w:hAnsi="Times New Roman" w:cs="Times New Roman"/>
          <w:i/>
        </w:rPr>
      </w:pPr>
      <w:r w:rsidRPr="00C46A15">
        <w:rPr>
          <w:rFonts w:ascii="Times New Roman" w:eastAsia="Times New Roman" w:hAnsi="Times New Roman" w:cs="Times New Roman"/>
          <w:i/>
          <w:lang w:bidi="lv-LV"/>
        </w:rPr>
        <w:t>(Cena</w:t>
      </w:r>
      <w:r w:rsidRPr="00C46A15">
        <w:rPr>
          <w:rFonts w:ascii="Times New Roman" w:eastAsia="Times New Roman" w:hAnsi="Times New Roman" w:cs="Times New Roman"/>
          <w:i/>
          <w:vertAlign w:val="subscript"/>
          <w:lang w:bidi="lv-LV"/>
        </w:rPr>
        <w:t xml:space="preserve">B - </w:t>
      </w:r>
      <w:r w:rsidRPr="00C46A15">
        <w:rPr>
          <w:rFonts w:ascii="Times New Roman" w:eastAsia="Times New Roman" w:hAnsi="Times New Roman" w:cs="Times New Roman"/>
          <w:i/>
          <w:lang w:bidi="lv-LV"/>
        </w:rPr>
        <w:t>Cena</w:t>
      </w:r>
      <w:r w:rsidRPr="00C46A15">
        <w:rPr>
          <w:rFonts w:ascii="Times New Roman" w:eastAsia="Times New Roman" w:hAnsi="Times New Roman" w:cs="Times New Roman"/>
          <w:i/>
          <w:vertAlign w:val="subscript"/>
          <w:lang w:bidi="lv-LV"/>
        </w:rPr>
        <w:t>A</w:t>
      </w:r>
      <w:r w:rsidRPr="00C46A15">
        <w:rPr>
          <w:rFonts w:ascii="Times New Roman" w:eastAsia="Times New Roman" w:hAnsi="Times New Roman" w:cs="Times New Roman"/>
          <w:i/>
          <w:lang w:bidi="lv-LV"/>
        </w:rPr>
        <w:t xml:space="preserve">) * Plānotā apmaiņa </w:t>
      </w:r>
      <w:r w:rsidRPr="00C46A15">
        <w:rPr>
          <w:rFonts w:ascii="Times New Roman" w:eastAsia="Times New Roman" w:hAnsi="Times New Roman" w:cs="Times New Roman"/>
          <w:i/>
          <w:vertAlign w:val="subscript"/>
          <w:lang w:bidi="lv-LV"/>
        </w:rPr>
        <w:t>A</w:t>
      </w:r>
      <w:r w:rsidRPr="00C46A15">
        <w:rPr>
          <w:rFonts w:ascii="Times New Roman" w:eastAsia="Times New Roman" w:hAnsi="Times New Roman" w:cs="Times New Roman"/>
          <w:i/>
          <w:color w:val="545454"/>
          <w:shd w:val="clear" w:color="auto" w:fill="FFFFFF"/>
          <w:vertAlign w:val="subscript"/>
          <w:lang w:bidi="lv-LV"/>
        </w:rPr>
        <w:t xml:space="preserve"> →B </w:t>
      </w:r>
      <w:r w:rsidRPr="00C46A15">
        <w:rPr>
          <w:rFonts w:ascii="Times New Roman" w:eastAsia="Times New Roman" w:hAnsi="Times New Roman" w:cs="Times New Roman"/>
          <w:i/>
          <w:color w:val="545454"/>
          <w:shd w:val="clear" w:color="auto" w:fill="FFFFFF"/>
          <w:lang w:bidi="lv-LV"/>
        </w:rPr>
        <w:t>≥ 0</w:t>
      </w:r>
    </w:p>
    <w:p w14:paraId="2F02539D" w14:textId="77777777" w:rsidR="00437D53" w:rsidRPr="00C46A15" w:rsidRDefault="00437D53" w:rsidP="00437D53">
      <w:pPr>
        <w:jc w:val="both"/>
        <w:rPr>
          <w:rFonts w:ascii="Times New Roman" w:hAnsi="Times New Roman" w:cs="Times New Roman"/>
          <w:sz w:val="22"/>
          <w:szCs w:val="22"/>
        </w:rPr>
      </w:pPr>
    </w:p>
    <w:p w14:paraId="074E688F" w14:textId="77777777" w:rsidR="00437D53" w:rsidRDefault="00437D53" w:rsidP="00437D53">
      <w:pPr>
        <w:pStyle w:val="ListParagraph"/>
        <w:numPr>
          <w:ilvl w:val="0"/>
          <w:numId w:val="38"/>
        </w:numPr>
        <w:jc w:val="both"/>
        <w:rPr>
          <w:rFonts w:ascii="Times New Roman" w:hAnsi="Times New Roman" w:cs="Times New Roman"/>
          <w:sz w:val="22"/>
          <w:szCs w:val="22"/>
        </w:rPr>
      </w:pPr>
      <w:r w:rsidRPr="00C46A15">
        <w:rPr>
          <w:rFonts w:ascii="Times New Roman" w:eastAsia="Times New Roman" w:hAnsi="Times New Roman" w:cs="Times New Roman"/>
          <w:sz w:val="22"/>
          <w:szCs w:val="22"/>
          <w:lang w:bidi="lv-LV"/>
        </w:rPr>
        <w:t xml:space="preserve">Aprēķinātā plānotā apmaiņa starp tirdzniecības zonām atbilst visu NETO saskaņā ar šā </w:t>
      </w:r>
      <w:r w:rsidRPr="00C46A15">
        <w:rPr>
          <w:rFonts w:ascii="Times New Roman" w:eastAsia="Times New Roman" w:hAnsi="Times New Roman" w:cs="Times New Roman"/>
          <w:i/>
          <w:sz w:val="22"/>
          <w:szCs w:val="22"/>
          <w:lang w:bidi="lv-LV"/>
        </w:rPr>
        <w:t>DA SEC</w:t>
      </w:r>
      <w:r w:rsidRPr="00C46A15">
        <w:rPr>
          <w:rFonts w:ascii="Times New Roman" w:eastAsia="Times New Roman" w:hAnsi="Times New Roman" w:cs="Times New Roman"/>
          <w:sz w:val="22"/>
          <w:szCs w:val="22"/>
          <w:lang w:bidi="lv-LV"/>
        </w:rPr>
        <w:t xml:space="preserve"> priekšlikuma 3. pantu iesniegtajām tirdzniecības zonu neto pozīcijām.</w:t>
      </w:r>
      <w:bookmarkStart w:id="27" w:name="bookmark22"/>
    </w:p>
    <w:p w14:paraId="660DE41A" w14:textId="77777777" w:rsidR="00437D53" w:rsidRDefault="00437D53" w:rsidP="00437D53">
      <w:pPr>
        <w:pStyle w:val="ListParagraph"/>
        <w:ind w:left="1080"/>
        <w:jc w:val="both"/>
        <w:rPr>
          <w:rFonts w:ascii="Times New Roman" w:hAnsi="Times New Roman" w:cs="Times New Roman"/>
          <w:sz w:val="22"/>
          <w:szCs w:val="22"/>
        </w:rPr>
      </w:pPr>
    </w:p>
    <w:p w14:paraId="3DF4B574" w14:textId="77777777" w:rsidR="00437D53" w:rsidRDefault="00437D53" w:rsidP="00437D53">
      <w:pPr>
        <w:pStyle w:val="ListParagraph"/>
        <w:numPr>
          <w:ilvl w:val="0"/>
          <w:numId w:val="38"/>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 xml:space="preserve">Plānotās apmaiņas aprēķinātājs ņem vērā jaudas piešķiršanas ierobežojumus </w:t>
      </w:r>
      <w:r w:rsidRPr="00F508AC">
        <w:rPr>
          <w:rFonts w:ascii="Times New Roman" w:eastAsia="Times New Roman" w:hAnsi="Times New Roman" w:cs="Times New Roman"/>
          <w:i/>
          <w:sz w:val="22"/>
          <w:szCs w:val="22"/>
          <w:lang w:bidi="lv-LV"/>
        </w:rPr>
        <w:t>SDAC</w:t>
      </w:r>
      <w:r w:rsidRPr="00F508AC">
        <w:rPr>
          <w:rFonts w:ascii="Times New Roman" w:eastAsia="Times New Roman" w:hAnsi="Times New Roman" w:cs="Times New Roman"/>
          <w:sz w:val="22"/>
          <w:szCs w:val="22"/>
          <w:lang w:bidi="lv-LV"/>
        </w:rPr>
        <w:t>.</w:t>
      </w:r>
      <w:bookmarkEnd w:id="27"/>
    </w:p>
    <w:p w14:paraId="6FE1EE37" w14:textId="77777777" w:rsidR="00437D53" w:rsidRPr="00F508AC" w:rsidRDefault="00437D53" w:rsidP="00437D53">
      <w:pPr>
        <w:jc w:val="both"/>
        <w:rPr>
          <w:rFonts w:ascii="Times New Roman" w:hAnsi="Times New Roman" w:cs="Times New Roman"/>
          <w:sz w:val="22"/>
          <w:szCs w:val="22"/>
        </w:rPr>
      </w:pPr>
    </w:p>
    <w:p w14:paraId="501F0090" w14:textId="2AD913FE" w:rsidR="00437D53" w:rsidRPr="00DC1007" w:rsidRDefault="00437D53" w:rsidP="00DC1007">
      <w:pPr>
        <w:pStyle w:val="Heading11"/>
        <w:keepNext/>
        <w:keepLines/>
        <w:shd w:val="clear" w:color="auto" w:fill="auto"/>
        <w:spacing w:line="254" w:lineRule="auto"/>
      </w:pPr>
      <w:bookmarkStart w:id="28" w:name="bookmark23"/>
      <w:bookmarkStart w:id="29" w:name="bookmark24"/>
      <w:bookmarkStart w:id="30" w:name="_Toc346720"/>
      <w:r w:rsidRPr="00DC1007">
        <w:rPr>
          <w:lang w:bidi="lv-LV"/>
        </w:rPr>
        <w:t>7. pants. Plānotās apmaiņas aprēķināšana starp grafiku sagatavošanas zonām</w:t>
      </w:r>
      <w:bookmarkEnd w:id="28"/>
      <w:bookmarkEnd w:id="29"/>
      <w:bookmarkEnd w:id="30"/>
    </w:p>
    <w:p w14:paraId="50656C6D" w14:textId="77777777" w:rsidR="00437D53" w:rsidRDefault="00437D53" w:rsidP="00437D53">
      <w:pPr>
        <w:pStyle w:val="ListParagraph"/>
        <w:numPr>
          <w:ilvl w:val="0"/>
          <w:numId w:val="41"/>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Pēc plānotās apmaiņas starp tirdzniecības zonām aprēķināšanas plānotās apmaiņas aprēķinātājs, ja nepieciešams, var aprēķināt plānoto apmaiņu starp grafiku sagatavošanas zonām. Ja grafiku sagatavošanas zonas atbilst tirdzniecības zonām, plānotā apmaiņa starp divām tirdzniecības zonām ir vienāda ar plānoto apmaiņu starp divām grafiku sagatavošanas zonām.</w:t>
      </w:r>
    </w:p>
    <w:p w14:paraId="5DFD82D0" w14:textId="77777777" w:rsidR="00437D53" w:rsidRDefault="00437D53" w:rsidP="00437D53">
      <w:pPr>
        <w:pStyle w:val="ListParagraph"/>
        <w:ind w:left="1080"/>
        <w:jc w:val="both"/>
        <w:rPr>
          <w:rFonts w:ascii="Times New Roman" w:hAnsi="Times New Roman" w:cs="Times New Roman"/>
          <w:sz w:val="22"/>
          <w:szCs w:val="22"/>
        </w:rPr>
      </w:pPr>
    </w:p>
    <w:p w14:paraId="61905102" w14:textId="77777777" w:rsidR="00437D53" w:rsidRPr="00F508AC" w:rsidRDefault="00437D53" w:rsidP="00437D53">
      <w:pPr>
        <w:pStyle w:val="ListParagraph"/>
        <w:numPr>
          <w:ilvl w:val="0"/>
          <w:numId w:val="41"/>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Plānotās apmaiņas aprēķināšanu starp grafiku sagatavošanas zonām veic tikai starp tādām grafiku sagatavošanas zonām, kurās darbojas vismaz viens NETO.</w:t>
      </w:r>
    </w:p>
    <w:p w14:paraId="7880A5B2" w14:textId="77777777" w:rsidR="00437D53" w:rsidRDefault="00437D53" w:rsidP="00437D53">
      <w:pPr>
        <w:ind w:left="720"/>
        <w:jc w:val="both"/>
        <w:rPr>
          <w:rFonts w:ascii="Times New Roman" w:hAnsi="Times New Roman" w:cs="Times New Roman"/>
          <w:sz w:val="22"/>
          <w:szCs w:val="22"/>
        </w:rPr>
      </w:pPr>
    </w:p>
    <w:p w14:paraId="7A61940C" w14:textId="77777777" w:rsidR="00437D53" w:rsidRPr="00F508AC" w:rsidRDefault="00437D53" w:rsidP="00437D53">
      <w:pPr>
        <w:pStyle w:val="ListParagraph"/>
        <w:numPr>
          <w:ilvl w:val="0"/>
          <w:numId w:val="41"/>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Ja tirdzniecības zonā ir vairāk nekā viena grafiku sagatavošanas zona:</w:t>
      </w:r>
    </w:p>
    <w:p w14:paraId="0C799044" w14:textId="77777777" w:rsidR="00437D53" w:rsidRPr="00F508AC" w:rsidRDefault="00437D53" w:rsidP="00437D53">
      <w:pPr>
        <w:pStyle w:val="ListParagraph"/>
        <w:numPr>
          <w:ilvl w:val="0"/>
          <w:numId w:val="42"/>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 xml:space="preserve">plānotās apmaiņas aprēķinātājs aprēķina plānoto apmaiņu starp grafiku sagatavošanas zonām, izmantojot saskaņā ar šā </w:t>
      </w:r>
      <w:r w:rsidRPr="00F508AC">
        <w:rPr>
          <w:rFonts w:ascii="Times New Roman" w:eastAsia="Times New Roman" w:hAnsi="Times New Roman" w:cs="Times New Roman"/>
          <w:i/>
          <w:sz w:val="22"/>
          <w:szCs w:val="22"/>
          <w:lang w:bidi="lv-LV"/>
        </w:rPr>
        <w:t>DA SEC</w:t>
      </w:r>
      <w:r w:rsidRPr="00F508AC">
        <w:rPr>
          <w:rFonts w:ascii="Times New Roman" w:eastAsia="Times New Roman" w:hAnsi="Times New Roman" w:cs="Times New Roman"/>
          <w:sz w:val="22"/>
          <w:szCs w:val="22"/>
          <w:lang w:bidi="lv-LV"/>
        </w:rPr>
        <w:t xml:space="preserve"> priekšlikuma 3. pantu iesniegtajām grafiku sagatavošanas zonu neto pozīcijām;</w:t>
      </w:r>
    </w:p>
    <w:p w14:paraId="2EA03694" w14:textId="77777777" w:rsidR="00437D53" w:rsidRPr="00F508AC" w:rsidRDefault="00437D53" w:rsidP="00437D53">
      <w:pPr>
        <w:pStyle w:val="ListParagraph"/>
        <w:numPr>
          <w:ilvl w:val="0"/>
          <w:numId w:val="42"/>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lai aprēķinātu plānoto apmaiņu starp grafiku sagatavošanas zonām, piemēro tādu pašu optimizācijas metodi kā plānotajai apmaiņai starp tirdzniecības zonām, ievērojot šādu formulu:</w:t>
      </w:r>
    </w:p>
    <w:p w14:paraId="535A963E" w14:textId="77777777" w:rsidR="00437D53" w:rsidRPr="003552C9" w:rsidRDefault="00437D53" w:rsidP="00437D53">
      <w:pPr>
        <w:ind w:left="720"/>
        <w:jc w:val="both"/>
        <w:rPr>
          <w:rFonts w:ascii="Times New Roman" w:hAnsi="Times New Roman" w:cs="Times New Roman"/>
          <w:sz w:val="22"/>
          <w:szCs w:val="22"/>
        </w:rPr>
      </w:pPr>
      <w:r w:rsidRPr="00F508AC">
        <w:rPr>
          <w:rFonts w:ascii="Times New Roman" w:eastAsia="Times New Roman" w:hAnsi="Times New Roman" w:cs="Times New Roman"/>
          <w:noProof/>
          <w:sz w:val="22"/>
          <w:szCs w:val="22"/>
          <w:lang w:eastAsia="lv-LV" w:bidi="ar-SA"/>
        </w:rPr>
        <w:lastRenderedPageBreak/>
        <w:drawing>
          <wp:inline distT="0" distB="0" distL="0" distR="0" wp14:anchorId="340F7E22" wp14:editId="51669EF0">
            <wp:extent cx="5270500" cy="1042670"/>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1042670"/>
                    </a:xfrm>
                    <a:prstGeom prst="rect">
                      <a:avLst/>
                    </a:prstGeom>
                  </pic:spPr>
                </pic:pic>
              </a:graphicData>
            </a:graphic>
          </wp:inline>
        </w:drawing>
      </w:r>
    </w:p>
    <w:p w14:paraId="5542B77E" w14:textId="77777777" w:rsidR="00437D53" w:rsidRPr="003552C9" w:rsidRDefault="00437D53" w:rsidP="00437D53">
      <w:pPr>
        <w:ind w:left="72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kur:</w:t>
      </w:r>
    </w:p>
    <w:p w14:paraId="7B8636FC" w14:textId="77777777" w:rsidR="00437D53" w:rsidRDefault="00437D53" w:rsidP="00437D53">
      <w:pPr>
        <w:pStyle w:val="ListParagraph"/>
        <w:numPr>
          <w:ilvl w:val="0"/>
          <w:numId w:val="43"/>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lc</w:t>
      </w:r>
      <w:r w:rsidRPr="00F508AC">
        <w:rPr>
          <w:rFonts w:ascii="Times New Roman" w:eastAsia="Times New Roman" w:hAnsi="Times New Roman" w:cs="Times New Roman"/>
          <w:i/>
          <w:sz w:val="22"/>
          <w:szCs w:val="22"/>
          <w:vertAlign w:val="subscript"/>
          <w:lang w:bidi="lv-LV"/>
        </w:rPr>
        <w:t>i,h</w:t>
      </w:r>
      <w:r w:rsidRPr="00F508AC">
        <w:rPr>
          <w:rFonts w:ascii="Times New Roman" w:eastAsia="Times New Roman" w:hAnsi="Times New Roman" w:cs="Times New Roman"/>
          <w:sz w:val="22"/>
          <w:szCs w:val="22"/>
          <w:lang w:bidi="lv-LV"/>
        </w:rPr>
        <w:t xml:space="preserve"> = ar grafiku sagatavošanas zonas robežu i saistītais lineārais izmaksu koeficients tirgus laika vienībai h;</w:t>
      </w:r>
    </w:p>
    <w:p w14:paraId="66F8560F" w14:textId="77777777" w:rsidR="00437D53" w:rsidRDefault="00437D53" w:rsidP="00437D53">
      <w:pPr>
        <w:pStyle w:val="ListParagraph"/>
        <w:numPr>
          <w:ilvl w:val="0"/>
          <w:numId w:val="43"/>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lc</w:t>
      </w:r>
      <w:r w:rsidRPr="00F508AC">
        <w:rPr>
          <w:rFonts w:ascii="Times New Roman" w:eastAsia="Times New Roman" w:hAnsi="Times New Roman" w:cs="Times New Roman"/>
          <w:i/>
          <w:sz w:val="22"/>
          <w:szCs w:val="22"/>
          <w:vertAlign w:val="subscript"/>
          <w:lang w:bidi="lv-LV"/>
        </w:rPr>
        <w:t>i,h</w:t>
      </w:r>
      <w:r w:rsidRPr="00F508AC">
        <w:rPr>
          <w:rFonts w:ascii="Times New Roman" w:eastAsia="Times New Roman" w:hAnsi="Times New Roman" w:cs="Times New Roman"/>
          <w:sz w:val="22"/>
          <w:szCs w:val="22"/>
          <w:lang w:bidi="lv-LV"/>
        </w:rPr>
        <w:t xml:space="preserve"> = ar grafiku sagatavošanas zonas robežu i saistītais kvadrātiskais izmaksu koeficients tirgus laika vienībai h;</w:t>
      </w:r>
    </w:p>
    <w:p w14:paraId="600A68AC" w14:textId="77777777" w:rsidR="00437D53" w:rsidRDefault="00437D53" w:rsidP="00437D53">
      <w:pPr>
        <w:pStyle w:val="ListParagraph"/>
        <w:numPr>
          <w:ilvl w:val="0"/>
          <w:numId w:val="43"/>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flow_sab</w:t>
      </w:r>
      <w:r w:rsidRPr="00F508AC">
        <w:rPr>
          <w:rFonts w:ascii="Times New Roman" w:eastAsia="Times New Roman" w:hAnsi="Times New Roman" w:cs="Times New Roman"/>
          <w:sz w:val="22"/>
          <w:szCs w:val="22"/>
          <w:vertAlign w:val="subscript"/>
          <w:lang w:bidi="lv-LV"/>
        </w:rPr>
        <w:t>i,h</w:t>
      </w:r>
      <w:r w:rsidRPr="00F508AC">
        <w:rPr>
          <w:rFonts w:ascii="Times New Roman" w:eastAsia="Times New Roman" w:hAnsi="Times New Roman" w:cs="Times New Roman"/>
          <w:sz w:val="22"/>
          <w:szCs w:val="22"/>
          <w:lang w:bidi="lv-LV"/>
        </w:rPr>
        <w:t xml:space="preserve"> = plānotā apmaiņa uz grafiku sagatavošanas zonas robežas i un tirgus laika vienība h;</w:t>
      </w:r>
    </w:p>
    <w:p w14:paraId="0A5E658E" w14:textId="77777777" w:rsidR="00437D53" w:rsidRPr="00F508AC" w:rsidRDefault="00437D53" w:rsidP="00437D53">
      <w:pPr>
        <w:pStyle w:val="ListParagraph"/>
        <w:numPr>
          <w:ilvl w:val="0"/>
          <w:numId w:val="43"/>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n</w:t>
      </w:r>
      <w:r w:rsidRPr="00F508AC">
        <w:rPr>
          <w:rFonts w:ascii="Times New Roman" w:eastAsia="Times New Roman" w:hAnsi="Times New Roman" w:cs="Times New Roman"/>
          <w:sz w:val="22"/>
          <w:szCs w:val="22"/>
          <w:lang w:bidi="lv-LV"/>
        </w:rPr>
        <w:t xml:space="preserve"> = optimizācijā vērā ņemto grafiku sagatavošanas robežu skaits.</w:t>
      </w:r>
    </w:p>
    <w:p w14:paraId="626AAE9C" w14:textId="77777777" w:rsidR="00437D53" w:rsidRDefault="00437D53" w:rsidP="00437D53">
      <w:pPr>
        <w:ind w:left="720"/>
        <w:jc w:val="both"/>
        <w:rPr>
          <w:rFonts w:ascii="Times New Roman" w:hAnsi="Times New Roman" w:cs="Times New Roman"/>
          <w:sz w:val="22"/>
          <w:szCs w:val="22"/>
        </w:rPr>
      </w:pPr>
    </w:p>
    <w:p w14:paraId="31B96F17" w14:textId="77777777" w:rsidR="00437D53" w:rsidRDefault="00437D53" w:rsidP="00437D53">
      <w:pPr>
        <w:pStyle w:val="ListParagraph"/>
        <w:numPr>
          <w:ilvl w:val="0"/>
          <w:numId w:val="42"/>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Ja vienā (vai abās) tirdzniecības zonas robežas pusē(-s) ir vairākas grafiku sagatavošanas zonas, plānoto apmaiņu starp grafiku sagatavošanas zonām pāri tirdzniecības zonas robežai attiecina uz katru grafiku sagatavošanas zonas robežu proporcionāli uzstādītajai starpsavienotāju siltuma jaudai uz katras grafiku sagatavošanas zonas robežas, ievērojot šādu formulu:</w:t>
      </w:r>
    </w:p>
    <w:p w14:paraId="31E785B8" w14:textId="77777777" w:rsidR="00437D53" w:rsidRDefault="00437D53" w:rsidP="00437D53">
      <w:pPr>
        <w:ind w:left="720"/>
        <w:jc w:val="both"/>
        <w:rPr>
          <w:rFonts w:ascii="Times New Roman" w:hAnsi="Times New Roman" w:cs="Times New Roman"/>
          <w:sz w:val="22"/>
          <w:szCs w:val="22"/>
        </w:rPr>
      </w:pPr>
      <w:r w:rsidRPr="00F508AC">
        <w:rPr>
          <w:rFonts w:ascii="Times New Roman" w:eastAsia="Times New Roman" w:hAnsi="Times New Roman" w:cs="Times New Roman"/>
          <w:noProof/>
          <w:sz w:val="22"/>
          <w:szCs w:val="22"/>
          <w:lang w:eastAsia="lv-LV" w:bidi="ar-SA"/>
        </w:rPr>
        <w:drawing>
          <wp:inline distT="0" distB="0" distL="0" distR="0" wp14:anchorId="68EC4D0E" wp14:editId="4C54F331">
            <wp:extent cx="2762636" cy="6192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636" cy="619211"/>
                    </a:xfrm>
                    <a:prstGeom prst="rect">
                      <a:avLst/>
                    </a:prstGeom>
                  </pic:spPr>
                </pic:pic>
              </a:graphicData>
            </a:graphic>
          </wp:inline>
        </w:drawing>
      </w:r>
    </w:p>
    <w:p w14:paraId="1A01BECF" w14:textId="77777777" w:rsidR="00437D53" w:rsidRPr="003552C9" w:rsidRDefault="00437D53" w:rsidP="00437D53">
      <w:pPr>
        <w:ind w:left="72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kur:</w:t>
      </w:r>
    </w:p>
    <w:p w14:paraId="5001D24E" w14:textId="77777777" w:rsidR="00437D53" w:rsidRDefault="00437D53" w:rsidP="00437D53">
      <w:pPr>
        <w:pStyle w:val="ListParagraph"/>
        <w:numPr>
          <w:ilvl w:val="0"/>
          <w:numId w:val="44"/>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flow_sab</w:t>
      </w:r>
      <w:r w:rsidRPr="00F508AC">
        <w:rPr>
          <w:rFonts w:ascii="Times New Roman" w:eastAsia="Times New Roman" w:hAnsi="Times New Roman" w:cs="Times New Roman"/>
          <w:i/>
          <w:sz w:val="22"/>
          <w:szCs w:val="22"/>
          <w:vertAlign w:val="subscript"/>
          <w:lang w:bidi="lv-LV"/>
        </w:rPr>
        <w:t>i,h</w:t>
      </w:r>
      <w:r w:rsidRPr="00F508AC">
        <w:rPr>
          <w:rFonts w:ascii="Times New Roman" w:eastAsia="Times New Roman" w:hAnsi="Times New Roman" w:cs="Times New Roman"/>
          <w:sz w:val="22"/>
          <w:szCs w:val="22"/>
          <w:lang w:bidi="lv-LV"/>
        </w:rPr>
        <w:t xml:space="preserve"> = plānotā apmaiņa uz grafiku sagatavošanas zonas robežas i un tirgus laika vienība h;</w:t>
      </w:r>
    </w:p>
    <w:p w14:paraId="70EDE2A2" w14:textId="6941A039" w:rsidR="00437D53" w:rsidRDefault="00437D53" w:rsidP="00437D53">
      <w:pPr>
        <w:pStyle w:val="ListParagraph"/>
        <w:numPr>
          <w:ilvl w:val="0"/>
          <w:numId w:val="44"/>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TC_sab</w:t>
      </w:r>
      <w:r w:rsidRPr="00F508AC">
        <w:rPr>
          <w:rFonts w:ascii="Times New Roman" w:eastAsia="Times New Roman" w:hAnsi="Times New Roman" w:cs="Times New Roman"/>
          <w:i/>
          <w:sz w:val="22"/>
          <w:szCs w:val="22"/>
          <w:vertAlign w:val="subscript"/>
          <w:lang w:bidi="lv-LV"/>
        </w:rPr>
        <w:t>i</w:t>
      </w:r>
      <w:r w:rsidRPr="00F508AC">
        <w:rPr>
          <w:rFonts w:ascii="Times New Roman" w:eastAsia="Times New Roman" w:hAnsi="Times New Roman" w:cs="Times New Roman"/>
          <w:sz w:val="22"/>
          <w:szCs w:val="22"/>
          <w:lang w:bidi="lv-LV"/>
        </w:rPr>
        <w:t xml:space="preserve"> = uz grafiku sagatavošanas zonas robežas i uzstādītā siltuma jauda </w:t>
      </w:r>
      <w:r w:rsidRPr="00F508AC">
        <w:rPr>
          <w:rFonts w:ascii="Times New Roman" w:eastAsia="Times New Roman" w:hAnsi="Times New Roman" w:cs="Times New Roman"/>
          <w:i/>
          <w:sz w:val="22"/>
          <w:szCs w:val="22"/>
          <w:lang w:bidi="lv-LV"/>
        </w:rPr>
        <w:t>(</w:t>
      </w:r>
      <w:proofErr w:type="spellStart"/>
      <w:r w:rsidRPr="00F508AC">
        <w:rPr>
          <w:rFonts w:ascii="Times New Roman" w:eastAsia="Times New Roman" w:hAnsi="Times New Roman" w:cs="Times New Roman"/>
          <w:i/>
          <w:sz w:val="22"/>
          <w:szCs w:val="22"/>
          <w:lang w:bidi="lv-LV"/>
        </w:rPr>
        <w:t>thermal</w:t>
      </w:r>
      <w:proofErr w:type="spellEnd"/>
      <w:r w:rsidRPr="00F508AC">
        <w:rPr>
          <w:rFonts w:ascii="Times New Roman" w:eastAsia="Times New Roman" w:hAnsi="Times New Roman" w:cs="Times New Roman"/>
          <w:i/>
          <w:sz w:val="22"/>
          <w:szCs w:val="22"/>
          <w:lang w:bidi="lv-LV"/>
        </w:rPr>
        <w:t xml:space="preserve"> </w:t>
      </w:r>
      <w:proofErr w:type="spellStart"/>
      <w:r w:rsidRPr="00F508AC">
        <w:rPr>
          <w:rFonts w:ascii="Times New Roman" w:eastAsia="Times New Roman" w:hAnsi="Times New Roman" w:cs="Times New Roman"/>
          <w:i/>
          <w:sz w:val="22"/>
          <w:szCs w:val="22"/>
          <w:lang w:bidi="lv-LV"/>
        </w:rPr>
        <w:t>capacity</w:t>
      </w:r>
      <w:proofErr w:type="spellEnd"/>
      <w:r w:rsidRPr="00F508AC">
        <w:rPr>
          <w:rFonts w:ascii="Times New Roman" w:eastAsia="Times New Roman" w:hAnsi="Times New Roman" w:cs="Times New Roman"/>
          <w:i/>
          <w:sz w:val="22"/>
          <w:szCs w:val="22"/>
          <w:lang w:bidi="lv-LV"/>
        </w:rPr>
        <w:t>)</w:t>
      </w:r>
      <w:r w:rsidRPr="00F508AC">
        <w:rPr>
          <w:rFonts w:ascii="Times New Roman" w:eastAsia="Times New Roman" w:hAnsi="Times New Roman" w:cs="Times New Roman"/>
          <w:sz w:val="22"/>
          <w:szCs w:val="22"/>
          <w:lang w:bidi="lv-LV"/>
        </w:rPr>
        <w:t>;</w:t>
      </w:r>
    </w:p>
    <w:p w14:paraId="711C5B0F" w14:textId="77777777" w:rsidR="00437D53" w:rsidRDefault="00437D53" w:rsidP="00437D53">
      <w:pPr>
        <w:pStyle w:val="ListParagraph"/>
        <w:numPr>
          <w:ilvl w:val="0"/>
          <w:numId w:val="44"/>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TC_bzb</w:t>
      </w:r>
      <w:r w:rsidRPr="00F508AC">
        <w:rPr>
          <w:rFonts w:ascii="Times New Roman" w:eastAsia="Times New Roman" w:hAnsi="Times New Roman" w:cs="Times New Roman"/>
          <w:i/>
          <w:sz w:val="22"/>
          <w:szCs w:val="22"/>
          <w:vertAlign w:val="subscript"/>
          <w:lang w:bidi="lv-LV"/>
        </w:rPr>
        <w:t>k</w:t>
      </w:r>
      <w:r w:rsidRPr="00F508AC">
        <w:rPr>
          <w:rFonts w:ascii="Times New Roman" w:eastAsia="Times New Roman" w:hAnsi="Times New Roman" w:cs="Times New Roman"/>
          <w:sz w:val="22"/>
          <w:szCs w:val="22"/>
          <w:lang w:bidi="lv-LV"/>
        </w:rPr>
        <w:t xml:space="preserve"> = uz tirdzniecības zonas robežas k, kuras sastāvā ir grafiku sagatavošanas zonas robeža i, uzstādītā siltuma jauda;</w:t>
      </w:r>
    </w:p>
    <w:p w14:paraId="67DE322D" w14:textId="77777777" w:rsidR="00437D53" w:rsidRPr="00F508AC" w:rsidRDefault="00437D53" w:rsidP="00437D53">
      <w:pPr>
        <w:pStyle w:val="ListParagraph"/>
        <w:numPr>
          <w:ilvl w:val="0"/>
          <w:numId w:val="44"/>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flow_bzb</w:t>
      </w:r>
      <w:r w:rsidRPr="00F508AC">
        <w:rPr>
          <w:rFonts w:ascii="Times New Roman" w:eastAsia="Times New Roman" w:hAnsi="Times New Roman" w:cs="Times New Roman"/>
          <w:i/>
          <w:sz w:val="22"/>
          <w:szCs w:val="22"/>
          <w:vertAlign w:val="subscript"/>
          <w:lang w:bidi="lv-LV"/>
        </w:rPr>
        <w:t>k,h</w:t>
      </w:r>
      <w:r w:rsidRPr="00F508AC">
        <w:rPr>
          <w:rFonts w:ascii="Times New Roman" w:eastAsia="Times New Roman" w:hAnsi="Times New Roman" w:cs="Times New Roman"/>
          <w:sz w:val="22"/>
          <w:szCs w:val="22"/>
          <w:lang w:bidi="lv-LV"/>
        </w:rPr>
        <w:t>= plānotā apmaiņa uz tirdzniecības zonas robežas k un tirgus laika vienība h.</w:t>
      </w:r>
    </w:p>
    <w:p w14:paraId="5237DF8F" w14:textId="77777777" w:rsidR="00437D53" w:rsidRDefault="00437D53" w:rsidP="00437D53">
      <w:pPr>
        <w:ind w:left="720"/>
        <w:jc w:val="both"/>
        <w:rPr>
          <w:rFonts w:ascii="Times New Roman" w:hAnsi="Times New Roman" w:cs="Times New Roman"/>
          <w:sz w:val="22"/>
          <w:szCs w:val="22"/>
        </w:rPr>
      </w:pPr>
    </w:p>
    <w:p w14:paraId="44884A6A" w14:textId="77777777" w:rsidR="00437D53" w:rsidRPr="00F508AC" w:rsidRDefault="00437D53" w:rsidP="00437D53">
      <w:pPr>
        <w:pStyle w:val="ListParagraph"/>
        <w:numPr>
          <w:ilvl w:val="0"/>
          <w:numId w:val="41"/>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Lineārais un kvadrātiskais izmaksu koeficients grafiku sagatavošanas zonas robežām vienas tirdzniecības zonas robežas ietvaros ir vienāds.</w:t>
      </w:r>
    </w:p>
    <w:p w14:paraId="3B9B99B4" w14:textId="77777777" w:rsidR="00437D53" w:rsidRDefault="00437D53" w:rsidP="00437D53">
      <w:pPr>
        <w:ind w:left="720"/>
        <w:jc w:val="both"/>
        <w:rPr>
          <w:rFonts w:ascii="Times New Roman" w:hAnsi="Times New Roman" w:cs="Times New Roman"/>
          <w:sz w:val="22"/>
          <w:szCs w:val="22"/>
        </w:rPr>
      </w:pPr>
      <w:bookmarkStart w:id="31" w:name="bookmark25"/>
    </w:p>
    <w:p w14:paraId="5B645605" w14:textId="77777777" w:rsidR="00437D53" w:rsidRDefault="00437D53" w:rsidP="00437D53">
      <w:pPr>
        <w:ind w:left="720"/>
        <w:jc w:val="both"/>
        <w:rPr>
          <w:rFonts w:ascii="Times New Roman" w:hAnsi="Times New Roman" w:cs="Times New Roman"/>
          <w:sz w:val="22"/>
          <w:szCs w:val="22"/>
        </w:rPr>
      </w:pPr>
      <w:r>
        <w:rPr>
          <w:rFonts w:ascii="Times New Roman" w:eastAsia="Times New Roman" w:hAnsi="Times New Roman" w:cs="Times New Roman"/>
          <w:sz w:val="22"/>
          <w:szCs w:val="22"/>
          <w:lang w:bidi="lv-LV"/>
        </w:rPr>
        <w:t xml:space="preserve">5. Aprēķinātā plānotā apmaiņa starp grafiku sagatavošanas zonām atbilst saskaņā ar šā </w:t>
      </w:r>
      <w:r>
        <w:rPr>
          <w:rFonts w:ascii="Times New Roman" w:eastAsia="Times New Roman" w:hAnsi="Times New Roman" w:cs="Times New Roman"/>
          <w:i/>
          <w:sz w:val="22"/>
          <w:szCs w:val="22"/>
          <w:lang w:bidi="lv-LV"/>
        </w:rPr>
        <w:t>DA SEC</w:t>
      </w:r>
      <w:r>
        <w:rPr>
          <w:rFonts w:ascii="Times New Roman" w:eastAsia="Times New Roman" w:hAnsi="Times New Roman" w:cs="Times New Roman"/>
          <w:sz w:val="22"/>
          <w:szCs w:val="22"/>
          <w:lang w:bidi="lv-LV"/>
        </w:rPr>
        <w:t xml:space="preserve"> priekšlikuma 3. pantu iesniegtajām grafiku sagatavošanas zonu neto pozīcijām:</w:t>
      </w:r>
      <w:bookmarkEnd w:id="31"/>
    </w:p>
    <w:p w14:paraId="3344F088" w14:textId="77777777" w:rsidR="00437D53" w:rsidRPr="003552C9" w:rsidRDefault="00437D53" w:rsidP="00437D53">
      <w:pPr>
        <w:ind w:left="720"/>
        <w:jc w:val="both"/>
        <w:rPr>
          <w:rFonts w:ascii="Times New Roman" w:hAnsi="Times New Roman" w:cs="Times New Roman"/>
          <w:sz w:val="22"/>
          <w:szCs w:val="22"/>
        </w:rPr>
      </w:pPr>
    </w:p>
    <w:p w14:paraId="1BC23B7C" w14:textId="742AD923" w:rsidR="00437D53" w:rsidRPr="00DC1007" w:rsidRDefault="00437D53" w:rsidP="00DC1007">
      <w:pPr>
        <w:pStyle w:val="Heading11"/>
        <w:keepNext/>
        <w:keepLines/>
        <w:shd w:val="clear" w:color="auto" w:fill="auto"/>
        <w:spacing w:line="254" w:lineRule="auto"/>
      </w:pPr>
      <w:bookmarkStart w:id="32" w:name="bookmark26"/>
      <w:bookmarkStart w:id="33" w:name="bookmark27"/>
      <w:bookmarkStart w:id="34" w:name="_Toc346721"/>
      <w:r w:rsidRPr="00DC1007">
        <w:rPr>
          <w:lang w:bidi="lv-LV"/>
        </w:rPr>
        <w:t>8. pants. Plānotās apmaiņas aprēķināšana starp NETO tirdzniecības platformām</w:t>
      </w:r>
      <w:bookmarkEnd w:id="32"/>
      <w:bookmarkEnd w:id="33"/>
      <w:bookmarkEnd w:id="34"/>
    </w:p>
    <w:p w14:paraId="0570B547" w14:textId="77777777" w:rsidR="00437D53" w:rsidRPr="00E54E74" w:rsidRDefault="00437D53" w:rsidP="0036608E">
      <w:pPr>
        <w:pStyle w:val="Default"/>
        <w:numPr>
          <w:ilvl w:val="0"/>
          <w:numId w:val="45"/>
        </w:numPr>
        <w:jc w:val="both"/>
      </w:pPr>
      <w:r w:rsidRPr="00F508AC">
        <w:rPr>
          <w:rFonts w:ascii="Times New Roman" w:eastAsia="Times New Roman" w:hAnsi="Times New Roman" w:cs="Times New Roman"/>
          <w:sz w:val="22"/>
          <w:szCs w:val="22"/>
          <w:lang w:bidi="lv-LV"/>
        </w:rPr>
        <w:t xml:space="preserve">Plānotās apmaiņas aprēķinātājs aprēķina plānoto apmaiņu starp NETO tirdzniecības platformām, pamatojoties uz NETO tirdzniecības platformu neto pozīcijām, ko saskaņā ar šā </w:t>
      </w:r>
      <w:r w:rsidRPr="00F508AC">
        <w:rPr>
          <w:rFonts w:ascii="Times New Roman" w:eastAsia="Times New Roman" w:hAnsi="Times New Roman" w:cs="Times New Roman"/>
          <w:i/>
          <w:sz w:val="22"/>
          <w:szCs w:val="22"/>
          <w:lang w:bidi="lv-LV"/>
        </w:rPr>
        <w:t>DA SEC</w:t>
      </w:r>
      <w:r w:rsidRPr="00F508AC">
        <w:rPr>
          <w:rFonts w:ascii="Times New Roman" w:eastAsia="Times New Roman" w:hAnsi="Times New Roman" w:cs="Times New Roman"/>
          <w:sz w:val="22"/>
          <w:szCs w:val="22"/>
          <w:lang w:bidi="lv-LV"/>
        </w:rPr>
        <w:t xml:space="preserve"> priekšlikuma 3. pantu iesniedz visi NETO.</w:t>
      </w:r>
    </w:p>
    <w:p w14:paraId="4FE7253B" w14:textId="77777777" w:rsidR="00437D53" w:rsidRPr="00F508AC" w:rsidRDefault="00437D53" w:rsidP="0036608E">
      <w:pPr>
        <w:pStyle w:val="ListParagraph"/>
        <w:numPr>
          <w:ilvl w:val="0"/>
          <w:numId w:val="45"/>
        </w:numPr>
        <w:jc w:val="both"/>
        <w:rPr>
          <w:rFonts w:ascii="Times New Roman" w:hAnsi="Times New Roman" w:cs="Times New Roman"/>
          <w:sz w:val="22"/>
          <w:szCs w:val="22"/>
        </w:rPr>
      </w:pPr>
      <w:r w:rsidRPr="00F508AC">
        <w:rPr>
          <w:rFonts w:ascii="Times New Roman" w:eastAsia="Times New Roman" w:hAnsi="Times New Roman" w:cs="Times New Roman"/>
          <w:sz w:val="22"/>
          <w:szCs w:val="22"/>
          <w:lang w:bidi="lv-LV"/>
        </w:rPr>
        <w:t>Plānotās apmaiņas aprēķināšanas starp NETO tirdzniecības platformām mērķis ir pēc iespējas mazināt neto finanšu risku (turpmāk tekstā – "NFR") starp ar katru NETO saistītajiem centrālajiem darījuma partneriem (turpmāk tekstā – "CDP"). NFR starp diviem CDP pāriem izsaka attiecībā uz plānoto apmaiņu starp to attiecīgo NETO tirdzniecības platformām, ievērojot šādu formulu:</w:t>
      </w:r>
    </w:p>
    <w:p w14:paraId="718C2A5D" w14:textId="77777777" w:rsidR="00437D53" w:rsidRDefault="00437D53" w:rsidP="00437D53">
      <w:pPr>
        <w:ind w:left="720"/>
        <w:jc w:val="both"/>
        <w:rPr>
          <w:rFonts w:ascii="Times New Roman" w:hAnsi="Times New Roman" w:cs="Times New Roman"/>
          <w:sz w:val="22"/>
          <w:szCs w:val="22"/>
        </w:rPr>
      </w:pPr>
    </w:p>
    <w:p w14:paraId="29421B23" w14:textId="77777777" w:rsidR="00437D53" w:rsidRPr="003552C9" w:rsidRDefault="00437D53" w:rsidP="00437D53">
      <w:pPr>
        <w:ind w:left="720"/>
        <w:jc w:val="both"/>
        <w:rPr>
          <w:rFonts w:ascii="Times New Roman" w:hAnsi="Times New Roman" w:cs="Times New Roman"/>
          <w:sz w:val="22"/>
          <w:szCs w:val="22"/>
        </w:rPr>
      </w:pPr>
      <w:r w:rsidRPr="00F508AC">
        <w:rPr>
          <w:rFonts w:ascii="Times New Roman" w:eastAsia="Times New Roman" w:hAnsi="Times New Roman" w:cs="Times New Roman"/>
          <w:noProof/>
          <w:sz w:val="22"/>
          <w:szCs w:val="22"/>
          <w:lang w:eastAsia="lv-LV" w:bidi="ar-SA"/>
        </w:rPr>
        <w:lastRenderedPageBreak/>
        <w:drawing>
          <wp:inline distT="0" distB="0" distL="0" distR="0" wp14:anchorId="72028839" wp14:editId="6630E259">
            <wp:extent cx="4525006" cy="438211"/>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5006" cy="438211"/>
                    </a:xfrm>
                    <a:prstGeom prst="rect">
                      <a:avLst/>
                    </a:prstGeom>
                  </pic:spPr>
                </pic:pic>
              </a:graphicData>
            </a:graphic>
          </wp:inline>
        </w:drawing>
      </w:r>
    </w:p>
    <w:p w14:paraId="6817D02D" w14:textId="77777777" w:rsidR="00437D53" w:rsidRDefault="00437D53" w:rsidP="00437D53">
      <w:pPr>
        <w:ind w:left="720"/>
        <w:jc w:val="both"/>
        <w:rPr>
          <w:rFonts w:ascii="Times New Roman" w:hAnsi="Times New Roman" w:cs="Times New Roman"/>
          <w:sz w:val="22"/>
          <w:szCs w:val="22"/>
        </w:rPr>
      </w:pPr>
      <w:r>
        <w:rPr>
          <w:rFonts w:ascii="Times New Roman" w:eastAsia="Times New Roman" w:hAnsi="Times New Roman" w:cs="Times New Roman"/>
          <w:sz w:val="22"/>
          <w:szCs w:val="22"/>
          <w:lang w:bidi="lv-LV"/>
        </w:rPr>
        <w:t>kur:</w:t>
      </w:r>
    </w:p>
    <w:p w14:paraId="749A2C9B" w14:textId="77777777" w:rsidR="00437D53" w:rsidRDefault="00437D53" w:rsidP="00437D53">
      <w:pPr>
        <w:pStyle w:val="ListParagraph"/>
        <w:numPr>
          <w:ilvl w:val="0"/>
          <w:numId w:val="46"/>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A, B</w:t>
      </w:r>
      <w:r w:rsidRPr="00F508AC">
        <w:rPr>
          <w:rFonts w:ascii="Times New Roman" w:eastAsia="Times New Roman" w:hAnsi="Times New Roman" w:cs="Times New Roman"/>
          <w:sz w:val="22"/>
          <w:szCs w:val="22"/>
          <w:lang w:bidi="lv-LV"/>
        </w:rPr>
        <w:t xml:space="preserve"> ir divi dažādi CDP;</w:t>
      </w:r>
    </w:p>
    <w:p w14:paraId="59AE237A" w14:textId="77777777" w:rsidR="00437D53" w:rsidRDefault="00437D53" w:rsidP="00437D53">
      <w:pPr>
        <w:pStyle w:val="ListParagraph"/>
        <w:numPr>
          <w:ilvl w:val="0"/>
          <w:numId w:val="46"/>
        </w:numPr>
        <w:jc w:val="both"/>
        <w:rPr>
          <w:rFonts w:ascii="Times New Roman" w:hAnsi="Times New Roman" w:cs="Times New Roman"/>
          <w:sz w:val="22"/>
          <w:szCs w:val="22"/>
        </w:rPr>
      </w:pPr>
      <w:r w:rsidRPr="00F508AC">
        <w:rPr>
          <w:rFonts w:ascii="Times New Roman" w:eastAsia="Times New Roman" w:hAnsi="Times New Roman" w:cs="Times New Roman"/>
          <w:i/>
          <w:sz w:val="22"/>
          <w:szCs w:val="22"/>
          <w:lang w:bidi="lv-LV"/>
        </w:rPr>
        <w:t>L</w:t>
      </w:r>
      <w:r w:rsidRPr="00F508AC">
        <w:rPr>
          <w:rFonts w:ascii="Times New Roman" w:eastAsia="Times New Roman" w:hAnsi="Times New Roman" w:cs="Times New Roman"/>
          <w:i/>
          <w:sz w:val="22"/>
          <w:szCs w:val="22"/>
          <w:vertAlign w:val="subscript"/>
          <w:lang w:bidi="lv-LV"/>
        </w:rPr>
        <w:t>A,B</w:t>
      </w:r>
      <w:r w:rsidRPr="00F508AC">
        <w:rPr>
          <w:rFonts w:ascii="Times New Roman" w:eastAsia="Times New Roman" w:hAnsi="Times New Roman" w:cs="Times New Roman"/>
          <w:i/>
          <w:sz w:val="22"/>
          <w:szCs w:val="22"/>
          <w:lang w:bidi="lv-LV"/>
        </w:rPr>
        <w:t xml:space="preserve"> = {l = (n</w:t>
      </w:r>
      <w:r w:rsidRPr="00F508AC">
        <w:rPr>
          <w:rFonts w:ascii="Times New Roman" w:eastAsia="Times New Roman" w:hAnsi="Times New Roman" w:cs="Times New Roman"/>
          <w:i/>
          <w:sz w:val="22"/>
          <w:szCs w:val="22"/>
          <w:vertAlign w:val="subscript"/>
          <w:lang w:bidi="lv-LV"/>
        </w:rPr>
        <w:t>1</w:t>
      </w:r>
      <w:r w:rsidRPr="00F508AC">
        <w:rPr>
          <w:rFonts w:ascii="Times New Roman" w:eastAsia="Times New Roman" w:hAnsi="Times New Roman" w:cs="Times New Roman"/>
          <w:i/>
          <w:sz w:val="22"/>
          <w:szCs w:val="22"/>
          <w:lang w:bidi="lv-LV"/>
        </w:rPr>
        <w:t>, n</w:t>
      </w:r>
      <w:r w:rsidRPr="00F508AC">
        <w:rPr>
          <w:rFonts w:ascii="Times New Roman" w:eastAsia="Times New Roman" w:hAnsi="Times New Roman" w:cs="Times New Roman"/>
          <w:i/>
          <w:sz w:val="22"/>
          <w:szCs w:val="22"/>
          <w:vertAlign w:val="subscript"/>
          <w:lang w:bidi="lv-LV"/>
        </w:rPr>
        <w:t>2</w:t>
      </w:r>
      <w:r w:rsidRPr="00F508AC">
        <w:rPr>
          <w:rFonts w:ascii="Times New Roman" w:eastAsia="Times New Roman" w:hAnsi="Times New Roman" w:cs="Times New Roman"/>
          <w:i/>
          <w:sz w:val="22"/>
          <w:szCs w:val="22"/>
          <w:lang w:bidi="lv-LV"/>
        </w:rPr>
        <w:t xml:space="preserve">) </w:t>
      </w:r>
      <w:r w:rsidRPr="00596A48">
        <w:rPr>
          <w:rFonts w:ascii="Cambria Math" w:eastAsia="Cambria Math" w:hAnsi="Cambria Math" w:cs="Cambria Math"/>
          <w:sz w:val="22"/>
          <w:szCs w:val="22"/>
          <w:lang w:bidi="lv-LV"/>
        </w:rPr>
        <w:t>∈</w:t>
      </w:r>
      <w:r w:rsidRPr="00F508AC">
        <w:rPr>
          <w:rFonts w:ascii="Times New Roman" w:eastAsia="Times New Roman" w:hAnsi="Times New Roman" w:cs="Times New Roman"/>
          <w:i/>
          <w:sz w:val="22"/>
          <w:szCs w:val="22"/>
          <w:lang w:bidi="lv-LV"/>
        </w:rPr>
        <w:t xml:space="preserve"> L</w:t>
      </w:r>
      <w:r w:rsidRPr="00F508AC">
        <w:rPr>
          <w:rFonts w:ascii="Times New Roman" w:eastAsia="Times New Roman" w:hAnsi="Times New Roman" w:cs="Times New Roman"/>
          <w:i/>
          <w:sz w:val="22"/>
          <w:szCs w:val="22"/>
          <w:vertAlign w:val="superscript"/>
          <w:lang w:bidi="lv-LV"/>
        </w:rPr>
        <w:t>d</w:t>
      </w:r>
      <w:r w:rsidRPr="00F508AC">
        <w:rPr>
          <w:rFonts w:ascii="Times New Roman" w:eastAsia="Times New Roman" w:hAnsi="Times New Roman" w:cs="Times New Roman"/>
          <w:i/>
          <w:sz w:val="22"/>
          <w:szCs w:val="22"/>
          <w:lang w:bidi="lv-LV"/>
        </w:rPr>
        <w:t>| cdp(n</w:t>
      </w:r>
      <w:r w:rsidRPr="00F508AC">
        <w:rPr>
          <w:rFonts w:ascii="Times New Roman" w:eastAsia="Times New Roman" w:hAnsi="Times New Roman" w:cs="Times New Roman"/>
          <w:i/>
          <w:sz w:val="22"/>
          <w:szCs w:val="22"/>
          <w:vertAlign w:val="subscript"/>
          <w:lang w:bidi="lv-LV"/>
        </w:rPr>
        <w:t>1</w:t>
      </w:r>
      <w:r w:rsidRPr="00F508AC">
        <w:rPr>
          <w:rFonts w:ascii="Times New Roman" w:eastAsia="Times New Roman" w:hAnsi="Times New Roman" w:cs="Times New Roman"/>
          <w:i/>
          <w:sz w:val="22"/>
          <w:szCs w:val="22"/>
          <w:lang w:bidi="lv-LV"/>
        </w:rPr>
        <w:t>) = A un cdp(n</w:t>
      </w:r>
      <w:r w:rsidRPr="00F508AC">
        <w:rPr>
          <w:rFonts w:ascii="Times New Roman" w:eastAsia="Times New Roman" w:hAnsi="Times New Roman" w:cs="Times New Roman"/>
          <w:i/>
          <w:sz w:val="22"/>
          <w:szCs w:val="22"/>
          <w:vertAlign w:val="subscript"/>
          <w:lang w:bidi="lv-LV"/>
        </w:rPr>
        <w:t>2</w:t>
      </w:r>
      <w:r w:rsidRPr="00F508AC">
        <w:rPr>
          <w:rFonts w:ascii="Times New Roman" w:eastAsia="Times New Roman" w:hAnsi="Times New Roman" w:cs="Times New Roman"/>
          <w:i/>
          <w:sz w:val="22"/>
          <w:szCs w:val="22"/>
          <w:lang w:bidi="lv-LV"/>
        </w:rPr>
        <w:t>) = B}</w:t>
      </w:r>
      <w:r w:rsidRPr="00F508AC">
        <w:rPr>
          <w:rFonts w:ascii="Times New Roman" w:eastAsia="Times New Roman" w:hAnsi="Times New Roman" w:cs="Times New Roman"/>
          <w:sz w:val="22"/>
          <w:szCs w:val="22"/>
          <w:lang w:bidi="lv-LV"/>
        </w:rPr>
        <w:t xml:space="preserve"> ir visu līniju kopums, kas savieno CDP A atbilstošā NETO tirdzniecības platformas ar CDP B atbilstošā NETO tirdzniecības platformām. </w:t>
      </w:r>
      <w:r w:rsidRPr="00F508AC">
        <w:rPr>
          <w:rFonts w:ascii="Times New Roman" w:eastAsia="Times New Roman" w:hAnsi="Times New Roman" w:cs="Times New Roman"/>
          <w:i/>
          <w:sz w:val="22"/>
          <w:szCs w:val="22"/>
          <w:lang w:bidi="lv-LV"/>
        </w:rPr>
        <w:t>Ld</w:t>
      </w:r>
      <w:r w:rsidRPr="00F508AC">
        <w:rPr>
          <w:rFonts w:ascii="Times New Roman" w:eastAsia="Times New Roman" w:hAnsi="Times New Roman" w:cs="Times New Roman"/>
          <w:sz w:val="22"/>
          <w:szCs w:val="22"/>
          <w:lang w:bidi="lv-LV"/>
        </w:rPr>
        <w:t xml:space="preserve"> ir visu tiešo (novirzīto) līniju kopums, kas savieno divas NETO tirdzniecības platformas;</w:t>
      </w:r>
    </w:p>
    <w:p w14:paraId="0893F230" w14:textId="77777777" w:rsidR="00437D53" w:rsidRDefault="00437D53" w:rsidP="00437D53">
      <w:pPr>
        <w:pStyle w:val="ListParagraph"/>
        <w:numPr>
          <w:ilvl w:val="0"/>
          <w:numId w:val="46"/>
        </w:numPr>
        <w:jc w:val="both"/>
        <w:rPr>
          <w:rFonts w:ascii="Times New Roman" w:hAnsi="Times New Roman" w:cs="Times New Roman"/>
          <w:sz w:val="22"/>
          <w:szCs w:val="22"/>
        </w:rPr>
      </w:pPr>
      <w:r w:rsidRPr="00596A48">
        <w:rPr>
          <w:rFonts w:ascii="Times New Roman" w:eastAsia="Times New Roman" w:hAnsi="Times New Roman" w:cs="Times New Roman"/>
          <w:i/>
          <w:sz w:val="22"/>
          <w:szCs w:val="22"/>
          <w:lang w:bidi="lv-LV"/>
        </w:rPr>
        <w:t>cdp(n</w:t>
      </w:r>
      <w:r w:rsidRPr="00596A48">
        <w:rPr>
          <w:rFonts w:ascii="Times New Roman" w:eastAsia="Times New Roman" w:hAnsi="Times New Roman" w:cs="Times New Roman"/>
          <w:i/>
          <w:sz w:val="22"/>
          <w:szCs w:val="22"/>
          <w:vertAlign w:val="subscript"/>
          <w:lang w:bidi="lv-LV"/>
        </w:rPr>
        <w:t>1</w:t>
      </w:r>
      <w:r w:rsidRPr="00596A48">
        <w:rPr>
          <w:rFonts w:ascii="Times New Roman" w:eastAsia="Times New Roman" w:hAnsi="Times New Roman" w:cs="Times New Roman"/>
          <w:i/>
          <w:sz w:val="22"/>
          <w:szCs w:val="22"/>
          <w:lang w:bidi="lv-LV"/>
        </w:rPr>
        <w:t>),cdp(n</w:t>
      </w:r>
      <w:r w:rsidRPr="00596A48">
        <w:rPr>
          <w:rFonts w:ascii="Times New Roman" w:eastAsia="Times New Roman" w:hAnsi="Times New Roman" w:cs="Times New Roman"/>
          <w:i/>
          <w:sz w:val="22"/>
          <w:szCs w:val="22"/>
          <w:vertAlign w:val="subscript"/>
          <w:lang w:bidi="lv-LV"/>
        </w:rPr>
        <w:t>2</w:t>
      </w:r>
      <w:r w:rsidRPr="00596A48">
        <w:rPr>
          <w:rFonts w:ascii="Times New Roman" w:eastAsia="Times New Roman" w:hAnsi="Times New Roman" w:cs="Times New Roman"/>
          <w:i/>
          <w:sz w:val="22"/>
          <w:szCs w:val="22"/>
          <w:lang w:bidi="lv-LV"/>
        </w:rPr>
        <w:t>)</w:t>
      </w:r>
      <w:r w:rsidRPr="00596A48">
        <w:rPr>
          <w:rFonts w:ascii="Times New Roman" w:eastAsia="Times New Roman" w:hAnsi="Times New Roman" w:cs="Times New Roman"/>
          <w:sz w:val="22"/>
          <w:szCs w:val="22"/>
          <w:lang w:bidi="lv-LV"/>
        </w:rPr>
        <w:t xml:space="preserve"> ir funkcija, kura dod CDP, kas atbilst attiecīgi NETO tirdzniecības platformai n1 un n2;</w:t>
      </w:r>
    </w:p>
    <w:p w14:paraId="2EBEE05F" w14:textId="77777777" w:rsidR="00437D53" w:rsidRPr="00E54E74" w:rsidRDefault="00437D53" w:rsidP="00437D53">
      <w:pPr>
        <w:pStyle w:val="ListParagraph"/>
        <w:numPr>
          <w:ilvl w:val="0"/>
          <w:numId w:val="46"/>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P</w:t>
      </w:r>
      <m:oMath>
        <m:f>
          <m:fPr>
            <m:type m:val="noBar"/>
            <m:ctrlPr>
              <w:rPr>
                <w:rFonts w:ascii="Cambria Math" w:hAnsi="Cambria Math" w:cs="Times New Roman"/>
                <w:i/>
                <w:sz w:val="22"/>
                <w:szCs w:val="22"/>
              </w:rPr>
            </m:ctrlPr>
          </m:fPr>
          <m:num>
            <m:r>
              <w:rPr>
                <w:rFonts w:ascii="Cambria Math" w:hAnsi="Cambria Math" w:cs="Times New Roman"/>
                <w:sz w:val="22"/>
                <w:szCs w:val="22"/>
              </w:rPr>
              <m:t>h</m:t>
            </m:r>
          </m:num>
          <m:den>
            <m:r>
              <w:rPr>
                <w:rFonts w:ascii="Cambria Math" w:hAnsi="Cambria Math" w:cs="Times New Roman"/>
                <w:sz w:val="22"/>
                <w:szCs w:val="22"/>
              </w:rPr>
              <m:t>A</m:t>
            </m:r>
          </m:den>
        </m:f>
      </m:oMath>
      <w:r w:rsidRPr="00596A48">
        <w:rPr>
          <w:rFonts w:ascii="Times New Roman" w:eastAsia="Times New Roman" w:hAnsi="Times New Roman" w:cs="Times New Roman"/>
          <w:sz w:val="22"/>
          <w:szCs w:val="22"/>
        </w:rPr>
        <w:t xml:space="preserve"> P</w:t>
      </w:r>
      <m:oMath>
        <m:f>
          <m:fPr>
            <m:type m:val="noBar"/>
            <m:ctrlPr>
              <w:rPr>
                <w:rFonts w:ascii="Cambria Math" w:hAnsi="Cambria Math" w:cs="Times New Roman"/>
                <w:i/>
                <w:sz w:val="22"/>
                <w:szCs w:val="22"/>
              </w:rPr>
            </m:ctrlPr>
          </m:fPr>
          <m:num>
            <m:r>
              <w:rPr>
                <w:rFonts w:ascii="Cambria Math" w:hAnsi="Cambria Math" w:cs="Times New Roman"/>
                <w:sz w:val="22"/>
                <w:szCs w:val="22"/>
              </w:rPr>
              <m:t>h</m:t>
            </m:r>
          </m:num>
          <m:den>
            <m:r>
              <w:rPr>
                <w:rFonts w:ascii="Cambria Math" w:hAnsi="Cambria Math" w:cs="Times New Roman"/>
                <w:sz w:val="22"/>
                <w:szCs w:val="22"/>
              </w:rPr>
              <m:t>B</m:t>
            </m:r>
          </m:den>
        </m:f>
      </m:oMath>
      <w:r w:rsidRPr="00596A48">
        <w:rPr>
          <w:rFonts w:ascii="Times New Roman" w:eastAsia="Times New Roman" w:hAnsi="Times New Roman" w:cs="Times New Roman"/>
          <w:sz w:val="22"/>
          <w:szCs w:val="22"/>
        </w:rPr>
        <w:t xml:space="preserve"> ir klīringa cena attiecīgi CDP A un B tirdzniecības zonai tirgus laika vienībā h;</w:t>
      </w:r>
    </w:p>
    <w:p w14:paraId="6BB27A8B" w14:textId="77777777" w:rsidR="00437D53" w:rsidRPr="006B7E13" w:rsidRDefault="00437D53" w:rsidP="00437D53">
      <w:pPr>
        <w:pStyle w:val="ListParagraph"/>
        <w:numPr>
          <w:ilvl w:val="0"/>
          <w:numId w:val="46"/>
        </w:numPr>
        <w:jc w:val="both"/>
        <w:rPr>
          <w:rFonts w:ascii="Times New Roman" w:hAnsi="Times New Roman" w:cs="Times New Roman"/>
          <w:sz w:val="22"/>
          <w:szCs w:val="22"/>
        </w:rPr>
      </w:pPr>
      <w:r w:rsidRPr="006B7E13">
        <w:rPr>
          <w:rFonts w:ascii="Times New Roman" w:eastAsia="Times New Roman" w:hAnsi="Times New Roman" w:cs="Times New Roman"/>
          <w:i/>
          <w:sz w:val="22"/>
          <w:szCs w:val="22"/>
          <w:lang w:bidi="lv-LV"/>
        </w:rPr>
        <w:t>flow (plūsma)</w:t>
      </w:r>
      <m:oMath>
        <m:f>
          <m:fPr>
            <m:type m:val="noBar"/>
            <m:ctrlPr>
              <w:rPr>
                <w:rFonts w:ascii="Cambria Math" w:hAnsi="Cambria Math" w:cs="Times New Roman"/>
                <w:i/>
                <w:sz w:val="22"/>
                <w:szCs w:val="22"/>
              </w:rPr>
            </m:ctrlPr>
          </m:fPr>
          <m:num>
            <m:r>
              <w:rPr>
                <w:rFonts w:ascii="Cambria Math" w:hAnsi="Cambria Math" w:cs="Times New Roman"/>
                <w:sz w:val="22"/>
                <w:szCs w:val="22"/>
              </w:rPr>
              <m:t xml:space="preserve">h         </m:t>
            </m:r>
          </m:num>
          <m:den>
            <m:r>
              <w:rPr>
                <w:rFonts w:ascii="Cambria Math" w:hAnsi="Cambria Math" w:cs="Times New Roman"/>
                <w:sz w:val="22"/>
                <w:szCs w:val="22"/>
              </w:rPr>
              <m:t>n1,n2</m:t>
            </m:r>
          </m:den>
        </m:f>
      </m:oMath>
      <w:r w:rsidRPr="006B7E13">
        <w:rPr>
          <w:rFonts w:ascii="Times New Roman" w:eastAsia="Times New Roman" w:hAnsi="Times New Roman" w:cs="Times New Roman"/>
          <w:sz w:val="22"/>
          <w:szCs w:val="22"/>
        </w:rPr>
        <w:t xml:space="preserve"> ir plānotā apmaiņa no NETO tirdzniecības platformas n</w:t>
      </w:r>
      <w:r w:rsidRPr="006B7E13">
        <w:rPr>
          <w:rFonts w:ascii="Times New Roman" w:eastAsia="Times New Roman" w:hAnsi="Times New Roman" w:cs="Times New Roman"/>
          <w:sz w:val="22"/>
          <w:szCs w:val="22"/>
          <w:vertAlign w:val="subscript"/>
        </w:rPr>
        <w:t>1</w:t>
      </w:r>
      <w:r w:rsidRPr="006B7E13">
        <w:rPr>
          <w:rFonts w:ascii="Times New Roman" w:eastAsia="Times New Roman" w:hAnsi="Times New Roman" w:cs="Times New Roman"/>
          <w:sz w:val="22"/>
          <w:szCs w:val="22"/>
        </w:rPr>
        <w:t xml:space="preserve"> uz NETO tirdzniecības platformu n</w:t>
      </w:r>
      <w:r w:rsidRPr="006B7E13">
        <w:rPr>
          <w:rFonts w:ascii="Times New Roman" w:eastAsia="Times New Roman" w:hAnsi="Times New Roman" w:cs="Times New Roman"/>
          <w:sz w:val="22"/>
          <w:szCs w:val="22"/>
          <w:vertAlign w:val="subscript"/>
        </w:rPr>
        <w:t>2</w:t>
      </w:r>
      <w:r w:rsidRPr="006B7E13">
        <w:rPr>
          <w:rFonts w:ascii="Times New Roman" w:eastAsia="Times New Roman" w:hAnsi="Times New Roman" w:cs="Times New Roman"/>
          <w:sz w:val="22"/>
          <w:szCs w:val="22"/>
        </w:rPr>
        <w:t xml:space="preserve"> tirgus laika vienībai h;</w:t>
      </w:r>
    </w:p>
    <w:p w14:paraId="39142520" w14:textId="77777777" w:rsidR="00437D53" w:rsidRDefault="00437D53" w:rsidP="00437D53">
      <w:pPr>
        <w:pStyle w:val="ListParagraph"/>
        <w:numPr>
          <w:ilvl w:val="0"/>
          <w:numId w:val="46"/>
        </w:numPr>
        <w:jc w:val="both"/>
        <w:rPr>
          <w:rFonts w:ascii="Times New Roman" w:hAnsi="Times New Roman" w:cs="Times New Roman"/>
          <w:sz w:val="22"/>
          <w:szCs w:val="22"/>
        </w:rPr>
      </w:pPr>
      <w:r w:rsidRPr="00596A48">
        <w:rPr>
          <w:rFonts w:ascii="Times New Roman" w:eastAsia="Times New Roman" w:hAnsi="Times New Roman" w:cs="Times New Roman"/>
          <w:i/>
          <w:sz w:val="22"/>
          <w:szCs w:val="22"/>
          <w:lang w:bidi="lv-LV"/>
        </w:rPr>
        <w:t>zudums</w:t>
      </w:r>
      <w:r w:rsidRPr="00596A48">
        <w:rPr>
          <w:rFonts w:ascii="Times New Roman" w:eastAsia="Times New Roman" w:hAnsi="Times New Roman" w:cs="Times New Roman"/>
          <w:i/>
          <w:sz w:val="22"/>
          <w:szCs w:val="22"/>
          <w:vertAlign w:val="subscript"/>
          <w:lang w:bidi="lv-LV"/>
        </w:rPr>
        <w:t>n1,n2</w:t>
      </w:r>
      <w:r w:rsidRPr="00596A48">
        <w:rPr>
          <w:rFonts w:ascii="Times New Roman" w:eastAsia="Times New Roman" w:hAnsi="Times New Roman" w:cs="Times New Roman"/>
          <w:sz w:val="22"/>
          <w:szCs w:val="22"/>
          <w:vertAlign w:val="subscript"/>
          <w:lang w:bidi="lv-LV"/>
        </w:rPr>
        <w:t xml:space="preserve"> </w:t>
      </w:r>
      <w:r w:rsidRPr="00596A48">
        <w:rPr>
          <w:rFonts w:ascii="Times New Roman" w:eastAsia="Times New Roman" w:hAnsi="Times New Roman" w:cs="Times New Roman"/>
          <w:sz w:val="22"/>
          <w:szCs w:val="22"/>
          <w:lang w:bidi="lv-LV"/>
        </w:rPr>
        <w:t>ir ar plānotās apmaiņas pamatā esošā tīkla ierobežojumu saistīts zudums vai 0, ja šāds ierobežojums nepastāv;</w:t>
      </w:r>
    </w:p>
    <w:p w14:paraId="54E11590" w14:textId="77777777" w:rsidR="00437D53" w:rsidRDefault="00437D53" w:rsidP="00437D53">
      <w:pPr>
        <w:pStyle w:val="ListParagraph"/>
        <w:numPr>
          <w:ilvl w:val="0"/>
          <w:numId w:val="46"/>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h ir tirgus laika vienība un H ir visu tirgus laika vienību kopums;</w:t>
      </w:r>
    </w:p>
    <w:p w14:paraId="5A052674" w14:textId="77777777" w:rsidR="00437D53" w:rsidRPr="00596A48" w:rsidRDefault="00437D53" w:rsidP="00437D53">
      <w:pPr>
        <w:jc w:val="both"/>
        <w:rPr>
          <w:rFonts w:ascii="Times New Roman" w:hAnsi="Times New Roman" w:cs="Times New Roman"/>
          <w:sz w:val="22"/>
          <w:szCs w:val="22"/>
        </w:rPr>
      </w:pPr>
    </w:p>
    <w:p w14:paraId="12A1149F" w14:textId="77777777" w:rsidR="00437D53" w:rsidRPr="00596A48" w:rsidRDefault="00437D53" w:rsidP="00437D53">
      <w:pPr>
        <w:pStyle w:val="ListParagraph"/>
        <w:numPr>
          <w:ilvl w:val="0"/>
          <w:numId w:val="45"/>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Vispirms NFR mazina, izmantojot kvadrātisko vērtību summu</w:t>
      </w:r>
    </w:p>
    <w:p w14:paraId="48A0E17E" w14:textId="77777777" w:rsidR="00437D53" w:rsidRDefault="00437D53" w:rsidP="00437D53">
      <w:pPr>
        <w:ind w:left="720"/>
        <w:jc w:val="both"/>
        <w:rPr>
          <w:rFonts w:ascii="Times New Roman" w:hAnsi="Times New Roman" w:cs="Times New Roman"/>
          <w:sz w:val="22"/>
          <w:szCs w:val="22"/>
        </w:rPr>
      </w:pPr>
    </w:p>
    <w:p w14:paraId="5EF76E6C" w14:textId="77777777" w:rsidR="00437D53" w:rsidRDefault="00437D53" w:rsidP="00437D53">
      <w:pPr>
        <w:ind w:left="720"/>
        <w:jc w:val="both"/>
        <w:rPr>
          <w:rFonts w:ascii="Times New Roman" w:hAnsi="Times New Roman" w:cs="Times New Roman"/>
          <w:sz w:val="22"/>
          <w:szCs w:val="22"/>
        </w:rPr>
      </w:pPr>
      <w:r w:rsidRPr="00596A48">
        <w:rPr>
          <w:rFonts w:ascii="Times New Roman" w:eastAsia="Times New Roman" w:hAnsi="Times New Roman" w:cs="Times New Roman"/>
          <w:noProof/>
          <w:sz w:val="22"/>
          <w:szCs w:val="22"/>
          <w:lang w:eastAsia="lv-LV" w:bidi="ar-SA"/>
        </w:rPr>
        <w:drawing>
          <wp:inline distT="0" distB="0" distL="0" distR="0" wp14:anchorId="7C68630B" wp14:editId="4BACA0B8">
            <wp:extent cx="2572109" cy="695422"/>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2109" cy="695422"/>
                    </a:xfrm>
                    <a:prstGeom prst="rect">
                      <a:avLst/>
                    </a:prstGeom>
                  </pic:spPr>
                </pic:pic>
              </a:graphicData>
            </a:graphic>
          </wp:inline>
        </w:drawing>
      </w:r>
    </w:p>
    <w:p w14:paraId="5554024B" w14:textId="77777777" w:rsidR="00437D53" w:rsidRPr="003552C9" w:rsidRDefault="00437D53" w:rsidP="00437D53">
      <w:pPr>
        <w:ind w:left="72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kur:</w:t>
      </w:r>
    </w:p>
    <w:p w14:paraId="12E8E804" w14:textId="77777777" w:rsidR="00437D53" w:rsidRDefault="00437D53" w:rsidP="00437D53">
      <w:pPr>
        <w:pStyle w:val="ListParagraph"/>
        <w:numPr>
          <w:ilvl w:val="0"/>
          <w:numId w:val="47"/>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CDP ir visu CDP kopums;</w:t>
      </w:r>
    </w:p>
    <w:p w14:paraId="0C19A318" w14:textId="77777777" w:rsidR="00437D53" w:rsidRDefault="00437D53" w:rsidP="00437D53">
      <w:pPr>
        <w:pStyle w:val="ListParagraph"/>
        <w:numPr>
          <w:ilvl w:val="0"/>
          <w:numId w:val="47"/>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c ir CDP;</w:t>
      </w:r>
    </w:p>
    <w:p w14:paraId="666C5F13" w14:textId="79D140D3" w:rsidR="00437D53" w:rsidRPr="006C0D09" w:rsidRDefault="00437D53" w:rsidP="006C0D09">
      <w:pPr>
        <w:pStyle w:val="ListParagraph"/>
        <w:numPr>
          <w:ilvl w:val="0"/>
          <w:numId w:val="47"/>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c' ir cits CDP, kas nav CDP c.</w:t>
      </w:r>
    </w:p>
    <w:p w14:paraId="66884A92" w14:textId="77777777" w:rsidR="00437D53" w:rsidRPr="003552C9" w:rsidRDefault="00437D53" w:rsidP="00437D53">
      <w:pPr>
        <w:ind w:left="720"/>
        <w:jc w:val="both"/>
        <w:rPr>
          <w:rFonts w:ascii="Times New Roman" w:hAnsi="Times New Roman" w:cs="Times New Roman"/>
          <w:sz w:val="22"/>
          <w:szCs w:val="22"/>
        </w:rPr>
      </w:pPr>
    </w:p>
    <w:p w14:paraId="15A1A7BF" w14:textId="77777777" w:rsidR="00437D53" w:rsidRPr="00596A48" w:rsidRDefault="00437D53" w:rsidP="00437D53">
      <w:pPr>
        <w:pStyle w:val="ListParagraph"/>
        <w:numPr>
          <w:ilvl w:val="0"/>
          <w:numId w:val="45"/>
        </w:numPr>
        <w:jc w:val="both"/>
        <w:rPr>
          <w:rFonts w:ascii="Times New Roman" w:hAnsi="Times New Roman" w:cs="Times New Roman"/>
          <w:sz w:val="22"/>
          <w:szCs w:val="22"/>
        </w:rPr>
      </w:pPr>
      <w:r w:rsidRPr="00596A48">
        <w:rPr>
          <w:rFonts w:ascii="Times New Roman" w:eastAsia="Times New Roman" w:hAnsi="Times New Roman" w:cs="Times New Roman"/>
          <w:sz w:val="22"/>
          <w:szCs w:val="22"/>
          <w:lang w:bidi="lv-LV"/>
        </w:rPr>
        <w:t>Otru samazināšanas problēmu piemēro, izmantojot lineāros un kvadrātiskos izmaksu koeficientus, lai nepieļautu nekādas neprecizitātes un noteiktu risinājumu atbilstoši plānotajai apmaiņai starp grafiku sagatavošanas zonām, kas ir aprēķināta saskaņā ar šā DA SEC priekšlikuma 8. pantu</w:t>
      </w:r>
    </w:p>
    <w:p w14:paraId="75AD02A8" w14:textId="77777777" w:rsidR="00437D53" w:rsidRPr="003552C9" w:rsidRDefault="00437D53" w:rsidP="00437D53">
      <w:pPr>
        <w:ind w:left="720"/>
        <w:jc w:val="both"/>
        <w:rPr>
          <w:rFonts w:ascii="Times New Roman" w:hAnsi="Times New Roman" w:cs="Times New Roman"/>
          <w:sz w:val="22"/>
          <w:szCs w:val="22"/>
        </w:rPr>
      </w:pPr>
      <w:r w:rsidRPr="00596A48">
        <w:rPr>
          <w:rFonts w:ascii="Times New Roman" w:eastAsia="Times New Roman" w:hAnsi="Times New Roman" w:cs="Times New Roman"/>
          <w:noProof/>
          <w:sz w:val="22"/>
          <w:szCs w:val="22"/>
          <w:lang w:eastAsia="lv-LV" w:bidi="ar-SA"/>
        </w:rPr>
        <w:drawing>
          <wp:inline distT="0" distB="0" distL="0" distR="0" wp14:anchorId="389E9946" wp14:editId="376AD185">
            <wp:extent cx="5008970" cy="849630"/>
            <wp:effectExtent l="0" t="0" r="127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7931" cy="854542"/>
                    </a:xfrm>
                    <a:prstGeom prst="rect">
                      <a:avLst/>
                    </a:prstGeom>
                  </pic:spPr>
                </pic:pic>
              </a:graphicData>
            </a:graphic>
          </wp:inline>
        </w:drawing>
      </w:r>
    </w:p>
    <w:p w14:paraId="094BD0AF" w14:textId="77777777" w:rsidR="00437D53" w:rsidRPr="003552C9" w:rsidRDefault="00437D53" w:rsidP="00437D53">
      <w:pPr>
        <w:ind w:left="720"/>
        <w:jc w:val="both"/>
        <w:rPr>
          <w:rFonts w:ascii="Times New Roman" w:hAnsi="Times New Roman" w:cs="Times New Roman"/>
          <w:sz w:val="22"/>
          <w:szCs w:val="22"/>
        </w:rPr>
      </w:pPr>
    </w:p>
    <w:p w14:paraId="3C91818C" w14:textId="77777777" w:rsidR="00437D53" w:rsidRPr="003552C9" w:rsidRDefault="00437D53" w:rsidP="00437D53">
      <w:pPr>
        <w:ind w:left="720"/>
        <w:jc w:val="both"/>
        <w:rPr>
          <w:rFonts w:ascii="Times New Roman" w:hAnsi="Times New Roman" w:cs="Times New Roman"/>
          <w:sz w:val="22"/>
          <w:szCs w:val="22"/>
        </w:rPr>
      </w:pPr>
      <w:r w:rsidRPr="003552C9">
        <w:rPr>
          <w:rFonts w:ascii="Times New Roman" w:eastAsia="Times New Roman" w:hAnsi="Times New Roman" w:cs="Times New Roman"/>
          <w:sz w:val="22"/>
          <w:szCs w:val="22"/>
          <w:lang w:bidi="lv-LV"/>
        </w:rPr>
        <w:t>kur:</w:t>
      </w:r>
    </w:p>
    <w:p w14:paraId="3523A5A3" w14:textId="77777777" w:rsidR="00437D53" w:rsidRDefault="00437D53" w:rsidP="00437D53">
      <w:pPr>
        <w:pStyle w:val="ListParagraph"/>
        <w:numPr>
          <w:ilvl w:val="0"/>
          <w:numId w:val="48"/>
        </w:numPr>
        <w:jc w:val="both"/>
        <w:rPr>
          <w:rFonts w:ascii="Times New Roman" w:hAnsi="Times New Roman" w:cs="Times New Roman"/>
          <w:sz w:val="22"/>
          <w:szCs w:val="22"/>
        </w:rPr>
      </w:pPr>
      <w:r w:rsidRPr="006B7E13">
        <w:rPr>
          <w:rFonts w:ascii="Times New Roman" w:eastAsia="Times New Roman" w:hAnsi="Times New Roman" w:cs="Times New Roman"/>
          <w:i/>
          <w:sz w:val="22"/>
          <w:szCs w:val="22"/>
          <w:lang w:bidi="lv-LV"/>
        </w:rPr>
        <w:t>lc</w:t>
      </w:r>
      <w:r w:rsidRPr="006B7E13">
        <w:rPr>
          <w:rFonts w:ascii="Times New Roman" w:eastAsia="Times New Roman" w:hAnsi="Times New Roman" w:cs="Times New Roman"/>
          <w:i/>
          <w:sz w:val="22"/>
          <w:szCs w:val="22"/>
          <w:vertAlign w:val="subscript"/>
          <w:lang w:bidi="lv-LV"/>
        </w:rPr>
        <w:t>i</w:t>
      </w:r>
      <w:r w:rsidRPr="006B7E13">
        <w:rPr>
          <w:rFonts w:ascii="Times New Roman" w:eastAsia="Times New Roman" w:hAnsi="Times New Roman" w:cs="Times New Roman"/>
          <w:sz w:val="22"/>
          <w:szCs w:val="22"/>
          <w:lang w:bidi="lv-LV"/>
        </w:rPr>
        <w:t xml:space="preserve"> = ar NETO tirdzniecības platformas robežu i saistītais lineārais izmaksu koeficients;</w:t>
      </w:r>
    </w:p>
    <w:p w14:paraId="33962686" w14:textId="77777777" w:rsidR="00437D53" w:rsidRDefault="00437D53" w:rsidP="00437D53">
      <w:pPr>
        <w:pStyle w:val="ListParagraph"/>
        <w:numPr>
          <w:ilvl w:val="0"/>
          <w:numId w:val="48"/>
        </w:numPr>
        <w:jc w:val="both"/>
        <w:rPr>
          <w:rFonts w:ascii="Times New Roman" w:hAnsi="Times New Roman" w:cs="Times New Roman"/>
          <w:sz w:val="22"/>
          <w:szCs w:val="22"/>
        </w:rPr>
      </w:pPr>
      <w:r w:rsidRPr="006B7E13">
        <w:rPr>
          <w:rFonts w:ascii="Times New Roman" w:eastAsia="Times New Roman" w:hAnsi="Times New Roman" w:cs="Times New Roman"/>
          <w:i/>
          <w:sz w:val="22"/>
          <w:szCs w:val="22"/>
          <w:lang w:bidi="lv-LV"/>
        </w:rPr>
        <w:t>qc</w:t>
      </w:r>
      <w:r w:rsidRPr="006B7E13">
        <w:rPr>
          <w:rFonts w:ascii="Times New Roman" w:eastAsia="Times New Roman" w:hAnsi="Times New Roman" w:cs="Times New Roman"/>
          <w:i/>
          <w:sz w:val="22"/>
          <w:szCs w:val="22"/>
          <w:vertAlign w:val="subscript"/>
          <w:lang w:bidi="lv-LV"/>
        </w:rPr>
        <w:t>i</w:t>
      </w:r>
      <w:r w:rsidRPr="006B7E13">
        <w:rPr>
          <w:rFonts w:ascii="Times New Roman" w:eastAsia="Times New Roman" w:hAnsi="Times New Roman" w:cs="Times New Roman"/>
          <w:sz w:val="22"/>
          <w:szCs w:val="22"/>
          <w:lang w:bidi="lv-LV"/>
        </w:rPr>
        <w:t xml:space="preserve"> = ar NETO tirdzniecības platformas robežu i saistītais kvadrātiskais izmaksu koeficients;</w:t>
      </w:r>
    </w:p>
    <w:p w14:paraId="2250A106" w14:textId="77777777" w:rsidR="00437D53" w:rsidRDefault="00437D53" w:rsidP="00437D53">
      <w:pPr>
        <w:pStyle w:val="ListParagraph"/>
        <w:numPr>
          <w:ilvl w:val="0"/>
          <w:numId w:val="48"/>
        </w:numPr>
        <w:jc w:val="both"/>
        <w:rPr>
          <w:rFonts w:ascii="Times New Roman" w:hAnsi="Times New Roman" w:cs="Times New Roman"/>
          <w:sz w:val="22"/>
          <w:szCs w:val="22"/>
        </w:rPr>
      </w:pPr>
      <w:r w:rsidRPr="006B7E13">
        <w:rPr>
          <w:rFonts w:ascii="Times New Roman" w:eastAsia="Times New Roman" w:hAnsi="Times New Roman" w:cs="Times New Roman"/>
          <w:i/>
          <w:sz w:val="22"/>
          <w:szCs w:val="22"/>
          <w:lang w:bidi="lv-LV"/>
        </w:rPr>
        <w:t>flow (plūsma)</w:t>
      </w:r>
      <m:oMath>
        <m:f>
          <m:fPr>
            <m:type m:val="noBar"/>
            <m:ctrlPr>
              <w:rPr>
                <w:rFonts w:ascii="Cambria Math" w:hAnsi="Cambria Math" w:cs="Times New Roman"/>
                <w:i/>
                <w:sz w:val="22"/>
                <w:szCs w:val="22"/>
              </w:rPr>
            </m:ctrlPr>
          </m:fPr>
          <m:num>
            <m:r>
              <w:rPr>
                <w:rFonts w:ascii="Cambria Math" w:hAnsi="Cambria Math" w:cs="Times New Roman"/>
                <w:sz w:val="22"/>
                <w:szCs w:val="22"/>
              </w:rPr>
              <m:t xml:space="preserve">h         </m:t>
            </m:r>
          </m:num>
          <m:den>
            <m:r>
              <w:rPr>
                <w:rFonts w:ascii="Cambria Math" w:hAnsi="Cambria Math" w:cs="Times New Roman"/>
                <w:sz w:val="22"/>
                <w:szCs w:val="22"/>
              </w:rPr>
              <m:t>n1,n2</m:t>
            </m:r>
          </m:den>
        </m:f>
      </m:oMath>
      <w:r w:rsidRPr="006B7E13">
        <w:rPr>
          <w:rFonts w:ascii="Times New Roman" w:eastAsia="Times New Roman" w:hAnsi="Times New Roman" w:cs="Times New Roman"/>
          <w:sz w:val="22"/>
          <w:szCs w:val="22"/>
        </w:rPr>
        <w:t xml:space="preserve"> ir plānotā apmaiņa no NETO tirdzniecības platformas n</w:t>
      </w:r>
      <w:r w:rsidRPr="006B7E13">
        <w:rPr>
          <w:rFonts w:ascii="Times New Roman" w:eastAsia="Times New Roman" w:hAnsi="Times New Roman" w:cs="Times New Roman"/>
          <w:sz w:val="22"/>
          <w:szCs w:val="22"/>
          <w:vertAlign w:val="subscript"/>
        </w:rPr>
        <w:t>1</w:t>
      </w:r>
      <w:r w:rsidRPr="006B7E13">
        <w:rPr>
          <w:rFonts w:ascii="Times New Roman" w:eastAsia="Times New Roman" w:hAnsi="Times New Roman" w:cs="Times New Roman"/>
          <w:sz w:val="22"/>
          <w:szCs w:val="22"/>
        </w:rPr>
        <w:t xml:space="preserve"> uz NETO tirdzniecības platformu n</w:t>
      </w:r>
      <w:r w:rsidRPr="006B7E13">
        <w:rPr>
          <w:rFonts w:ascii="Times New Roman" w:eastAsia="Times New Roman" w:hAnsi="Times New Roman" w:cs="Times New Roman"/>
          <w:sz w:val="22"/>
          <w:szCs w:val="22"/>
          <w:vertAlign w:val="subscript"/>
        </w:rPr>
        <w:t>2</w:t>
      </w:r>
      <w:r w:rsidRPr="006B7E13">
        <w:rPr>
          <w:rFonts w:ascii="Times New Roman" w:eastAsia="Times New Roman" w:hAnsi="Times New Roman" w:cs="Times New Roman"/>
          <w:sz w:val="22"/>
          <w:szCs w:val="22"/>
        </w:rPr>
        <w:t xml:space="preserve"> tirgus laika vienībai h;</w:t>
      </w:r>
    </w:p>
    <w:p w14:paraId="0A3E1B74" w14:textId="77777777" w:rsidR="00437D53" w:rsidRDefault="00437D53" w:rsidP="00437D53">
      <w:pPr>
        <w:pStyle w:val="ListParagraph"/>
        <w:numPr>
          <w:ilvl w:val="0"/>
          <w:numId w:val="48"/>
        </w:numPr>
        <w:jc w:val="both"/>
        <w:rPr>
          <w:rFonts w:ascii="Times New Roman" w:hAnsi="Times New Roman" w:cs="Times New Roman"/>
          <w:sz w:val="22"/>
          <w:szCs w:val="22"/>
        </w:rPr>
      </w:pPr>
      <w:r w:rsidRPr="006B7E13">
        <w:rPr>
          <w:rFonts w:ascii="Times New Roman" w:eastAsia="Times New Roman" w:hAnsi="Times New Roman" w:cs="Times New Roman"/>
          <w:i/>
          <w:sz w:val="22"/>
          <w:szCs w:val="22"/>
          <w:lang w:bidi="lv-LV"/>
        </w:rPr>
        <w:t>n</w:t>
      </w:r>
      <w:r w:rsidRPr="006B7E13">
        <w:rPr>
          <w:rFonts w:ascii="Times New Roman" w:eastAsia="Times New Roman" w:hAnsi="Times New Roman" w:cs="Times New Roman"/>
          <w:sz w:val="22"/>
          <w:szCs w:val="22"/>
          <w:lang w:bidi="lv-LV"/>
        </w:rPr>
        <w:t xml:space="preserve"> = optimizācijā vērā ņemto NETO tirdzniecības platformu robežu kopējais skaits, proti, plānotā apmaiņa no NETO tirdzniecības platformas n</w:t>
      </w:r>
      <w:r w:rsidRPr="006B7E13">
        <w:rPr>
          <w:rFonts w:ascii="Times New Roman" w:eastAsia="Times New Roman" w:hAnsi="Times New Roman" w:cs="Times New Roman"/>
          <w:sz w:val="22"/>
          <w:szCs w:val="22"/>
          <w:vertAlign w:val="subscript"/>
          <w:lang w:bidi="lv-LV"/>
        </w:rPr>
        <w:t>1</w:t>
      </w:r>
      <w:r w:rsidRPr="006B7E13">
        <w:rPr>
          <w:rFonts w:ascii="Times New Roman" w:eastAsia="Times New Roman" w:hAnsi="Times New Roman" w:cs="Times New Roman"/>
          <w:sz w:val="22"/>
          <w:szCs w:val="22"/>
          <w:lang w:bidi="lv-LV"/>
        </w:rPr>
        <w:t xml:space="preserve"> uz NETO tirdzniecības. platformu n</w:t>
      </w:r>
      <w:r w:rsidRPr="006B7E13">
        <w:rPr>
          <w:rFonts w:ascii="Times New Roman" w:eastAsia="Times New Roman" w:hAnsi="Times New Roman" w:cs="Times New Roman"/>
          <w:sz w:val="22"/>
          <w:szCs w:val="22"/>
          <w:vertAlign w:val="subscript"/>
          <w:lang w:bidi="lv-LV"/>
        </w:rPr>
        <w:t>2</w:t>
      </w:r>
      <w:r w:rsidRPr="006B7E13">
        <w:rPr>
          <w:rFonts w:ascii="Times New Roman" w:eastAsia="Times New Roman" w:hAnsi="Times New Roman" w:cs="Times New Roman"/>
          <w:sz w:val="22"/>
          <w:szCs w:val="22"/>
          <w:lang w:bidi="lv-LV"/>
        </w:rPr>
        <w:t>.</w:t>
      </w:r>
    </w:p>
    <w:p w14:paraId="0BAFF46E" w14:textId="77777777" w:rsidR="00437D53" w:rsidRPr="00E54E74" w:rsidRDefault="00437D53" w:rsidP="00437D53">
      <w:pPr>
        <w:ind w:left="1080"/>
        <w:jc w:val="both"/>
        <w:rPr>
          <w:rFonts w:ascii="Times New Roman" w:hAnsi="Times New Roman" w:cs="Times New Roman"/>
          <w:sz w:val="22"/>
          <w:szCs w:val="22"/>
        </w:rPr>
      </w:pPr>
    </w:p>
    <w:p w14:paraId="6AA2F9DB" w14:textId="24CD5461" w:rsidR="00437D53" w:rsidRPr="00DC1007" w:rsidRDefault="00437D53" w:rsidP="00DC1007">
      <w:pPr>
        <w:pStyle w:val="Heading11"/>
        <w:keepNext/>
        <w:keepLines/>
        <w:shd w:val="clear" w:color="auto" w:fill="auto"/>
        <w:spacing w:line="254" w:lineRule="auto"/>
      </w:pPr>
      <w:bookmarkStart w:id="35" w:name="bookmark28"/>
      <w:bookmarkStart w:id="36" w:name="bookmark29"/>
      <w:bookmarkStart w:id="37" w:name="_Toc346722"/>
      <w:r w:rsidRPr="00DC1007">
        <w:rPr>
          <w:lang w:bidi="lv-LV"/>
        </w:rPr>
        <w:lastRenderedPageBreak/>
        <w:t xml:space="preserve">9. pants. </w:t>
      </w:r>
      <w:r w:rsidRPr="00DC1007">
        <w:rPr>
          <w:i/>
          <w:lang w:bidi="lv-LV"/>
        </w:rPr>
        <w:t>DA SEC</w:t>
      </w:r>
      <w:r w:rsidRPr="00DC1007">
        <w:rPr>
          <w:lang w:bidi="lv-LV"/>
        </w:rPr>
        <w:t xml:space="preserve"> metodikas īstenošana</w:t>
      </w:r>
      <w:bookmarkEnd w:id="35"/>
      <w:bookmarkEnd w:id="36"/>
      <w:bookmarkEnd w:id="37"/>
    </w:p>
    <w:p w14:paraId="09583D79" w14:textId="77777777" w:rsidR="00437D53" w:rsidRDefault="00437D53" w:rsidP="00437D53">
      <w:pPr>
        <w:pStyle w:val="ListParagraph"/>
        <w:numPr>
          <w:ilvl w:val="0"/>
          <w:numId w:val="49"/>
        </w:numPr>
        <w:jc w:val="both"/>
        <w:rPr>
          <w:rFonts w:ascii="Times New Roman" w:hAnsi="Times New Roman" w:cs="Times New Roman"/>
          <w:sz w:val="22"/>
          <w:szCs w:val="22"/>
        </w:rPr>
      </w:pPr>
      <w:bookmarkStart w:id="38" w:name="bookmark30"/>
      <w:bookmarkStart w:id="39" w:name="bookmark31"/>
      <w:r w:rsidRPr="00E54E74">
        <w:rPr>
          <w:rFonts w:ascii="Times New Roman" w:eastAsia="Times New Roman" w:hAnsi="Times New Roman" w:cs="Times New Roman"/>
          <w:sz w:val="22"/>
          <w:szCs w:val="22"/>
          <w:lang w:bidi="lv-LV"/>
        </w:rPr>
        <w:t xml:space="preserve"> PSO īsteno </w:t>
      </w:r>
      <w:r w:rsidRPr="00E54E74">
        <w:rPr>
          <w:rFonts w:ascii="Times New Roman" w:eastAsia="Times New Roman" w:hAnsi="Times New Roman" w:cs="Times New Roman"/>
          <w:i/>
          <w:sz w:val="22"/>
          <w:szCs w:val="22"/>
          <w:lang w:bidi="lv-LV"/>
        </w:rPr>
        <w:t>DA SEC</w:t>
      </w:r>
      <w:r w:rsidRPr="00E54E74">
        <w:rPr>
          <w:rFonts w:ascii="Times New Roman" w:eastAsia="Times New Roman" w:hAnsi="Times New Roman" w:cs="Times New Roman"/>
          <w:sz w:val="22"/>
          <w:szCs w:val="22"/>
          <w:lang w:bidi="lv-LV"/>
        </w:rPr>
        <w:t xml:space="preserve"> priekšlikumu, kad saskaņā ar </w:t>
      </w:r>
      <w:r w:rsidRPr="00E54E74">
        <w:rPr>
          <w:rFonts w:ascii="Times New Roman" w:eastAsia="Times New Roman" w:hAnsi="Times New Roman" w:cs="Times New Roman"/>
          <w:i/>
          <w:sz w:val="22"/>
          <w:szCs w:val="22"/>
          <w:lang w:bidi="lv-LV"/>
        </w:rPr>
        <w:t>CACM</w:t>
      </w:r>
      <w:r w:rsidRPr="00E54E74">
        <w:rPr>
          <w:rFonts w:ascii="Times New Roman" w:eastAsia="Times New Roman" w:hAnsi="Times New Roman" w:cs="Times New Roman"/>
          <w:sz w:val="22"/>
          <w:szCs w:val="22"/>
          <w:lang w:bidi="lv-LV"/>
        </w:rPr>
        <w:t xml:space="preserve"> regulas 7. panta 3. punktu izstrādātā nākamās dienas tirgu sasaistīšanas operatora funkcija, cenas sasaistīšanas algoritms saskaņā ar </w:t>
      </w:r>
      <w:r w:rsidRPr="00E54E74">
        <w:rPr>
          <w:rFonts w:ascii="Times New Roman" w:eastAsia="Times New Roman" w:hAnsi="Times New Roman" w:cs="Times New Roman"/>
          <w:i/>
          <w:sz w:val="22"/>
          <w:szCs w:val="22"/>
          <w:lang w:bidi="lv-LV"/>
        </w:rPr>
        <w:t>CACM</w:t>
      </w:r>
      <w:r w:rsidRPr="00E54E74">
        <w:rPr>
          <w:rFonts w:ascii="Times New Roman" w:eastAsia="Times New Roman" w:hAnsi="Times New Roman" w:cs="Times New Roman"/>
          <w:sz w:val="22"/>
          <w:szCs w:val="22"/>
          <w:lang w:bidi="lv-LV"/>
        </w:rPr>
        <w:t xml:space="preserve"> regulas 37. panta 5. punktu un, ja nepieciešams, pasākumi, kas attiecas uz vairāk nekā vienu NETO saskaņā ar </w:t>
      </w:r>
      <w:r w:rsidRPr="00E54E74">
        <w:rPr>
          <w:rFonts w:ascii="Times New Roman" w:eastAsia="Times New Roman" w:hAnsi="Times New Roman" w:cs="Times New Roman"/>
          <w:i/>
          <w:sz w:val="22"/>
          <w:szCs w:val="22"/>
          <w:lang w:bidi="lv-LV"/>
        </w:rPr>
        <w:t>CACM</w:t>
      </w:r>
      <w:r w:rsidRPr="00E54E74">
        <w:rPr>
          <w:rFonts w:ascii="Times New Roman" w:eastAsia="Times New Roman" w:hAnsi="Times New Roman" w:cs="Times New Roman"/>
          <w:sz w:val="22"/>
          <w:szCs w:val="22"/>
          <w:lang w:bidi="lv-LV"/>
        </w:rPr>
        <w:t xml:space="preserve"> regulas 45. pantu, tiek īstenoti katrā tirdzniecības zonā un tās robežās.</w:t>
      </w:r>
      <w:bookmarkEnd w:id="38"/>
      <w:bookmarkEnd w:id="39"/>
    </w:p>
    <w:p w14:paraId="193B088D" w14:textId="77777777" w:rsidR="00437D53" w:rsidRPr="00E54E74" w:rsidRDefault="00437D53" w:rsidP="00437D53">
      <w:pPr>
        <w:pStyle w:val="ListParagraph"/>
        <w:ind w:left="1080"/>
        <w:jc w:val="both"/>
        <w:rPr>
          <w:rFonts w:ascii="Times New Roman" w:hAnsi="Times New Roman" w:cs="Times New Roman"/>
          <w:sz w:val="22"/>
          <w:szCs w:val="22"/>
        </w:rPr>
      </w:pPr>
    </w:p>
    <w:p w14:paraId="59F11C44" w14:textId="315F019B" w:rsidR="00437D53" w:rsidRPr="00DC1007" w:rsidRDefault="00437D53" w:rsidP="00DC1007">
      <w:pPr>
        <w:pStyle w:val="Heading11"/>
        <w:keepNext/>
        <w:keepLines/>
        <w:shd w:val="clear" w:color="auto" w:fill="auto"/>
        <w:spacing w:line="254" w:lineRule="auto"/>
      </w:pPr>
      <w:bookmarkStart w:id="40" w:name="bookmark32"/>
      <w:bookmarkStart w:id="41" w:name="bookmark33"/>
      <w:bookmarkStart w:id="42" w:name="_Toc346723"/>
      <w:r w:rsidRPr="00DC1007">
        <w:rPr>
          <w:lang w:bidi="lv-LV"/>
        </w:rPr>
        <w:t>10. pants. Valoda</w:t>
      </w:r>
      <w:bookmarkEnd w:id="40"/>
      <w:bookmarkEnd w:id="41"/>
      <w:bookmarkEnd w:id="42"/>
    </w:p>
    <w:p w14:paraId="18022CA4" w14:textId="5D7270BF" w:rsidR="00C7138F" w:rsidRPr="006C0D09" w:rsidRDefault="00437D53" w:rsidP="00437D53">
      <w:pPr>
        <w:pStyle w:val="ListParagraph"/>
        <w:numPr>
          <w:ilvl w:val="0"/>
          <w:numId w:val="50"/>
        </w:numPr>
        <w:jc w:val="both"/>
        <w:rPr>
          <w:rFonts w:ascii="Times New Roman" w:hAnsi="Times New Roman" w:cs="Times New Roman"/>
          <w:sz w:val="22"/>
          <w:szCs w:val="22"/>
        </w:rPr>
      </w:pPr>
      <w:r w:rsidRPr="00E54E74">
        <w:rPr>
          <w:rFonts w:ascii="Times New Roman" w:eastAsia="Times New Roman" w:hAnsi="Times New Roman" w:cs="Times New Roman"/>
          <w:sz w:val="22"/>
          <w:szCs w:val="22"/>
          <w:lang w:bidi="lv-LV"/>
        </w:rPr>
        <w:t xml:space="preserve">Šī </w:t>
      </w:r>
      <w:r w:rsidRPr="00E54E74">
        <w:rPr>
          <w:rFonts w:ascii="Times New Roman" w:eastAsia="Times New Roman" w:hAnsi="Times New Roman" w:cs="Times New Roman"/>
          <w:i/>
          <w:sz w:val="22"/>
          <w:szCs w:val="22"/>
          <w:lang w:bidi="lv-LV"/>
        </w:rPr>
        <w:t>DA SEC</w:t>
      </w:r>
      <w:r w:rsidRPr="00E54E74">
        <w:rPr>
          <w:rFonts w:ascii="Times New Roman" w:eastAsia="Times New Roman" w:hAnsi="Times New Roman" w:cs="Times New Roman"/>
          <w:sz w:val="22"/>
          <w:szCs w:val="22"/>
          <w:lang w:bidi="lv-LV"/>
        </w:rPr>
        <w:t xml:space="preserve"> priekšlikuma atsauces valoda ir angļu valoda. Lai nepieļautu neskaidrības, ja PSO ir jātulko šis </w:t>
      </w:r>
      <w:r w:rsidRPr="00E54E74">
        <w:rPr>
          <w:rFonts w:ascii="Times New Roman" w:eastAsia="Times New Roman" w:hAnsi="Times New Roman" w:cs="Times New Roman"/>
          <w:i/>
          <w:sz w:val="22"/>
          <w:szCs w:val="22"/>
          <w:lang w:bidi="lv-LV"/>
        </w:rPr>
        <w:t>DA SEC</w:t>
      </w:r>
      <w:r w:rsidRPr="00E54E74">
        <w:rPr>
          <w:rFonts w:ascii="Times New Roman" w:eastAsia="Times New Roman" w:hAnsi="Times New Roman" w:cs="Times New Roman"/>
          <w:sz w:val="22"/>
          <w:szCs w:val="22"/>
          <w:lang w:bidi="lv-LV"/>
        </w:rPr>
        <w:t xml:space="preserve"> priekšlikums valsts valodā(-s), neatbilstību gadījumā starp PSO publicēto versiju angļu valodā saskaņā ar </w:t>
      </w:r>
      <w:r w:rsidRPr="00E54E74">
        <w:rPr>
          <w:rFonts w:ascii="Times New Roman" w:eastAsia="Times New Roman" w:hAnsi="Times New Roman" w:cs="Times New Roman"/>
          <w:i/>
          <w:sz w:val="22"/>
          <w:szCs w:val="22"/>
          <w:lang w:bidi="lv-LV"/>
        </w:rPr>
        <w:t>CACM</w:t>
      </w:r>
      <w:r w:rsidRPr="00E54E74">
        <w:rPr>
          <w:rFonts w:ascii="Times New Roman" w:eastAsia="Times New Roman" w:hAnsi="Times New Roman" w:cs="Times New Roman"/>
          <w:sz w:val="22"/>
          <w:szCs w:val="22"/>
          <w:lang w:bidi="lv-LV"/>
        </w:rPr>
        <w:t xml:space="preserve"> regulas 9. panta 14. punktu un jebkuru versiju citā valodā attiecīgajiem PSO ir pienākums novērst jebkādas neatbilstības, iesniedzot savām attiecīgajām valsts </w:t>
      </w:r>
      <w:bookmarkStart w:id="43" w:name="_GoBack"/>
      <w:bookmarkEnd w:id="43"/>
      <w:r w:rsidRPr="00E54E74">
        <w:rPr>
          <w:rFonts w:ascii="Times New Roman" w:eastAsia="Times New Roman" w:hAnsi="Times New Roman" w:cs="Times New Roman"/>
          <w:sz w:val="22"/>
          <w:szCs w:val="22"/>
          <w:lang w:bidi="lv-LV"/>
        </w:rPr>
        <w:t xml:space="preserve">regulatīvajām iestādēm šā </w:t>
      </w:r>
      <w:r w:rsidRPr="00E54E74">
        <w:rPr>
          <w:rFonts w:ascii="Times New Roman" w:eastAsia="Times New Roman" w:hAnsi="Times New Roman" w:cs="Times New Roman"/>
          <w:i/>
          <w:sz w:val="22"/>
          <w:szCs w:val="22"/>
          <w:lang w:bidi="lv-LV"/>
        </w:rPr>
        <w:t>DA SEC</w:t>
      </w:r>
      <w:r w:rsidRPr="00E54E74">
        <w:rPr>
          <w:rFonts w:ascii="Times New Roman" w:eastAsia="Times New Roman" w:hAnsi="Times New Roman" w:cs="Times New Roman"/>
          <w:sz w:val="22"/>
          <w:szCs w:val="22"/>
          <w:lang w:bidi="lv-LV"/>
        </w:rPr>
        <w:t xml:space="preserve"> priekšlikuma pārskatītu tulkojumu.</w:t>
      </w:r>
      <w:bookmarkEnd w:id="0"/>
    </w:p>
    <w:sectPr w:rsidR="00C7138F" w:rsidRPr="006C0D09" w:rsidSect="005F76FF">
      <w:headerReference w:type="default" r:id="rId15"/>
      <w:footerReference w:type="default" r:id="rId16"/>
      <w:footerReference w:type="first" r:id="rId17"/>
      <w:type w:val="continuous"/>
      <w:pgSz w:w="11900" w:h="16840" w:code="9"/>
      <w:pgMar w:top="1495" w:right="1800" w:bottom="1440" w:left="1800" w:header="36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FA084" w14:textId="77777777" w:rsidR="00EB2CFF" w:rsidRDefault="00EB2CFF">
      <w:r>
        <w:separator/>
      </w:r>
    </w:p>
  </w:endnote>
  <w:endnote w:type="continuationSeparator" w:id="0">
    <w:p w14:paraId="607525A7" w14:textId="77777777" w:rsidR="00EB2CFF" w:rsidRDefault="00EB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Courier New" w:hAnsi="Courier New" w:cs="Courier New"/>
        <w:sz w:val="22"/>
        <w:szCs w:val="24"/>
      </w:rPr>
      <w:id w:val="1326315707"/>
      <w:docPartObj>
        <w:docPartGallery w:val="Page Numbers (Bottom of Page)"/>
        <w:docPartUnique/>
      </w:docPartObj>
    </w:sdtPr>
    <w:sdtEndPr>
      <w:rPr>
        <w:noProof/>
        <w:szCs w:val="22"/>
      </w:rPr>
    </w:sdtEndPr>
    <w:sdtContent>
      <w:sdt>
        <w:sdtPr>
          <w:rPr>
            <w:rFonts w:ascii="Courier New" w:eastAsia="Courier New" w:hAnsi="Courier New" w:cs="Courier New"/>
            <w:sz w:val="22"/>
            <w:szCs w:val="24"/>
          </w:rPr>
          <w:id w:val="-1810390520"/>
          <w:docPartObj>
            <w:docPartGallery w:val="Page Numbers (Bottom of Page)"/>
            <w:docPartUnique/>
          </w:docPartObj>
        </w:sdtPr>
        <w:sdtEndPr>
          <w:rPr>
            <w:rFonts w:ascii="Times New Roman" w:eastAsia="Times New Roman" w:hAnsi="Times New Roman" w:cs="Times New Roman"/>
            <w:noProof/>
            <w:sz w:val="18"/>
            <w:szCs w:val="20"/>
          </w:rPr>
        </w:sdtEndPr>
        <w:sdtContent>
          <w:p w14:paraId="2B219B50" w14:textId="199BD05D" w:rsidR="005F76FF" w:rsidRPr="002D1E50" w:rsidRDefault="00AD66AA" w:rsidP="002D1E50">
            <w:pPr>
              <w:pStyle w:val="Headerorfooter20"/>
              <w:shd w:val="clear" w:color="auto" w:fill="auto"/>
              <w:jc w:val="center"/>
              <w:rPr>
                <w:sz w:val="10"/>
                <w:szCs w:val="14"/>
              </w:rPr>
            </w:pPr>
            <w:r w:rsidRPr="002D1E50">
              <w:rPr>
                <w:rFonts w:ascii="Arial" w:eastAsia="Arial" w:hAnsi="Arial" w:cs="Arial"/>
                <w:i/>
                <w:sz w:val="10"/>
                <w:szCs w:val="14"/>
                <w:lang w:bidi="lv-LV"/>
              </w:rPr>
              <w:t>ENTSO-E</w:t>
            </w:r>
            <w:r w:rsidRPr="002D1E50">
              <w:rPr>
                <w:rFonts w:ascii="Arial" w:eastAsia="Arial" w:hAnsi="Arial" w:cs="Arial"/>
                <w:sz w:val="10"/>
                <w:szCs w:val="14"/>
                <w:lang w:bidi="lv-LV"/>
              </w:rPr>
              <w:t xml:space="preserve"> </w:t>
            </w:r>
            <w:r w:rsidRPr="002D1E50">
              <w:rPr>
                <w:rFonts w:ascii="Arial" w:eastAsia="Arial" w:hAnsi="Arial" w:cs="Arial"/>
                <w:sz w:val="6"/>
                <w:szCs w:val="10"/>
                <w:lang w:bidi="lv-LV"/>
              </w:rPr>
              <w:t xml:space="preserve">AISBL </w:t>
            </w:r>
            <w:r w:rsidRPr="002D1E50">
              <w:rPr>
                <w:rFonts w:ascii="Arial" w:eastAsia="Arial" w:hAnsi="Arial" w:cs="Arial"/>
                <w:sz w:val="10"/>
                <w:szCs w:val="14"/>
                <w:lang w:bidi="lv-LV"/>
              </w:rPr>
              <w:t xml:space="preserve">• </w:t>
            </w:r>
            <w:r w:rsidRPr="002D1E50">
              <w:rPr>
                <w:rFonts w:ascii="Arial" w:eastAsia="Arial" w:hAnsi="Arial" w:cs="Arial"/>
                <w:i/>
                <w:sz w:val="10"/>
                <w:szCs w:val="14"/>
                <w:lang w:bidi="lv-LV"/>
              </w:rPr>
              <w:t>Avenue de Cortenbergh</w:t>
            </w:r>
            <w:r w:rsidRPr="002D1E50">
              <w:rPr>
                <w:rFonts w:ascii="Arial" w:eastAsia="Arial" w:hAnsi="Arial" w:cs="Arial"/>
                <w:sz w:val="10"/>
                <w:szCs w:val="14"/>
                <w:lang w:bidi="lv-LV"/>
              </w:rPr>
              <w:t xml:space="preserve"> 100 • 1000, Brisele </w:t>
            </w:r>
            <w:r w:rsidRPr="002D1E50">
              <w:rPr>
                <w:rFonts w:ascii="Arial" w:eastAsia="Arial" w:hAnsi="Arial" w:cs="Arial"/>
                <w:i/>
                <w:sz w:val="10"/>
                <w:szCs w:val="14"/>
                <w:lang w:bidi="lv-LV"/>
              </w:rPr>
              <w:t>(Brussel</w:t>
            </w:r>
            <w:r w:rsidRPr="002D1E50">
              <w:rPr>
                <w:rFonts w:ascii="Arial" w:eastAsia="Arial" w:hAnsi="Arial" w:cs="Arial"/>
                <w:sz w:val="10"/>
                <w:szCs w:val="14"/>
                <w:lang w:bidi="lv-LV"/>
              </w:rPr>
              <w:t>) • Beļģija • Tālr.: + 32 2 741 09 50 • Fakss: + 32 2 741 09 51 • info@entsoe.eu • www. entsoe.eu</w:t>
            </w:r>
          </w:p>
        </w:sdtContent>
      </w:sdt>
      <w:p w14:paraId="1A9F567C" w14:textId="18666446" w:rsidR="00DC1007" w:rsidRPr="00551970" w:rsidRDefault="00DC1007">
        <w:pPr>
          <w:pStyle w:val="Footer"/>
          <w:jc w:val="right"/>
          <w:rPr>
            <w:rFonts w:ascii="Times New Roman" w:hAnsi="Times New Roman" w:cs="Times New Roman"/>
            <w:sz w:val="22"/>
            <w:szCs w:val="22"/>
          </w:rPr>
        </w:pPr>
        <w:r w:rsidRPr="00551970">
          <w:rPr>
            <w:rFonts w:ascii="Times New Roman" w:eastAsia="Times New Roman" w:hAnsi="Times New Roman" w:cs="Times New Roman"/>
            <w:sz w:val="22"/>
            <w:szCs w:val="22"/>
            <w:lang w:bidi="lv-LV"/>
          </w:rPr>
          <w:fldChar w:fldCharType="begin"/>
        </w:r>
        <w:r w:rsidRPr="00551970">
          <w:rPr>
            <w:rFonts w:ascii="Times New Roman" w:eastAsia="Times New Roman" w:hAnsi="Times New Roman" w:cs="Times New Roman"/>
            <w:sz w:val="22"/>
            <w:szCs w:val="22"/>
            <w:lang w:bidi="lv-LV"/>
          </w:rPr>
          <w:instrText xml:space="preserve"> PAGE   \* MERGEFORMAT </w:instrText>
        </w:r>
        <w:r w:rsidRPr="00551970">
          <w:rPr>
            <w:rFonts w:ascii="Times New Roman" w:eastAsia="Times New Roman" w:hAnsi="Times New Roman" w:cs="Times New Roman"/>
            <w:sz w:val="22"/>
            <w:szCs w:val="22"/>
            <w:lang w:bidi="lv-LV"/>
          </w:rPr>
          <w:fldChar w:fldCharType="separate"/>
        </w:r>
        <w:r w:rsidR="00082F0B">
          <w:rPr>
            <w:rFonts w:ascii="Times New Roman" w:eastAsia="Times New Roman" w:hAnsi="Times New Roman" w:cs="Times New Roman"/>
            <w:noProof/>
            <w:sz w:val="22"/>
            <w:szCs w:val="22"/>
            <w:lang w:bidi="lv-LV"/>
          </w:rPr>
          <w:t>13</w:t>
        </w:r>
        <w:r w:rsidRPr="00551970">
          <w:rPr>
            <w:rFonts w:ascii="Times New Roman" w:eastAsia="Times New Roman" w:hAnsi="Times New Roman" w:cs="Times New Roman"/>
            <w:noProof/>
            <w:sz w:val="22"/>
            <w:szCs w:val="22"/>
            <w:lang w:bidi="lv-LV"/>
          </w:rPr>
          <w:fldChar w:fldCharType="end"/>
        </w:r>
      </w:p>
    </w:sdtContent>
  </w:sdt>
  <w:p w14:paraId="76E5FC71" w14:textId="77777777" w:rsidR="00437D53" w:rsidRDefault="00437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Courier New" w:hAnsi="Courier New" w:cs="Courier New"/>
        <w:sz w:val="22"/>
        <w:szCs w:val="24"/>
      </w:rPr>
      <w:id w:val="870123630"/>
      <w:docPartObj>
        <w:docPartGallery w:val="Page Numbers (Bottom of Page)"/>
        <w:docPartUnique/>
      </w:docPartObj>
    </w:sdtPr>
    <w:sdtEndPr>
      <w:rPr>
        <w:rFonts w:ascii="Times New Roman" w:eastAsia="Times New Roman" w:hAnsi="Times New Roman" w:cs="Times New Roman"/>
        <w:noProof/>
        <w:sz w:val="18"/>
        <w:szCs w:val="20"/>
      </w:rPr>
    </w:sdtEndPr>
    <w:sdtContent>
      <w:p w14:paraId="126A7AA0" w14:textId="09FC369D" w:rsidR="00AD66AA" w:rsidRPr="002D1E50" w:rsidRDefault="00AD66AA" w:rsidP="002D1E50">
        <w:pPr>
          <w:pStyle w:val="Headerorfooter20"/>
          <w:shd w:val="clear" w:color="auto" w:fill="auto"/>
          <w:jc w:val="center"/>
          <w:rPr>
            <w:sz w:val="10"/>
            <w:szCs w:val="14"/>
          </w:rPr>
        </w:pPr>
        <w:r w:rsidRPr="002D1E50">
          <w:rPr>
            <w:rFonts w:ascii="Arial" w:eastAsia="Arial" w:hAnsi="Arial" w:cs="Arial"/>
            <w:i/>
            <w:sz w:val="10"/>
            <w:szCs w:val="14"/>
            <w:lang w:bidi="lv-LV"/>
          </w:rPr>
          <w:t>ENTSO-E</w:t>
        </w:r>
        <w:r w:rsidRPr="002D1E50">
          <w:rPr>
            <w:rFonts w:ascii="Arial" w:eastAsia="Arial" w:hAnsi="Arial" w:cs="Arial"/>
            <w:sz w:val="10"/>
            <w:szCs w:val="14"/>
            <w:lang w:bidi="lv-LV"/>
          </w:rPr>
          <w:t xml:space="preserve"> </w:t>
        </w:r>
        <w:r w:rsidRPr="002D1E50">
          <w:rPr>
            <w:rFonts w:ascii="Arial" w:eastAsia="Arial" w:hAnsi="Arial" w:cs="Arial"/>
            <w:sz w:val="6"/>
            <w:szCs w:val="10"/>
            <w:lang w:bidi="lv-LV"/>
          </w:rPr>
          <w:t xml:space="preserve">AISBL </w:t>
        </w:r>
        <w:r w:rsidRPr="002D1E50">
          <w:rPr>
            <w:rFonts w:ascii="Arial" w:eastAsia="Arial" w:hAnsi="Arial" w:cs="Arial"/>
            <w:sz w:val="10"/>
            <w:szCs w:val="14"/>
            <w:lang w:bidi="lv-LV"/>
          </w:rPr>
          <w:t xml:space="preserve">• </w:t>
        </w:r>
        <w:r w:rsidRPr="002D1E50">
          <w:rPr>
            <w:rFonts w:ascii="Arial" w:eastAsia="Arial" w:hAnsi="Arial" w:cs="Arial"/>
            <w:i/>
            <w:sz w:val="10"/>
            <w:szCs w:val="14"/>
            <w:lang w:bidi="lv-LV"/>
          </w:rPr>
          <w:t>Avenue de Cortenbergh</w:t>
        </w:r>
        <w:r w:rsidRPr="002D1E50">
          <w:rPr>
            <w:rFonts w:ascii="Arial" w:eastAsia="Arial" w:hAnsi="Arial" w:cs="Arial"/>
            <w:sz w:val="10"/>
            <w:szCs w:val="14"/>
            <w:lang w:bidi="lv-LV"/>
          </w:rPr>
          <w:t xml:space="preserve"> 100 • 1000, Brisele </w:t>
        </w:r>
        <w:r w:rsidRPr="002D1E50">
          <w:rPr>
            <w:rFonts w:ascii="Arial" w:eastAsia="Arial" w:hAnsi="Arial" w:cs="Arial"/>
            <w:i/>
            <w:sz w:val="10"/>
            <w:szCs w:val="14"/>
            <w:lang w:bidi="lv-LV"/>
          </w:rPr>
          <w:t>(Brussel</w:t>
        </w:r>
        <w:r w:rsidRPr="002D1E50">
          <w:rPr>
            <w:rFonts w:ascii="Arial" w:eastAsia="Arial" w:hAnsi="Arial" w:cs="Arial"/>
            <w:sz w:val="10"/>
            <w:szCs w:val="14"/>
            <w:lang w:bidi="lv-LV"/>
          </w:rPr>
          <w:t>) • Beļģija • Tālr.: + 32 2 741 09 50 • Fakss: + 32 2 741 09 51 • info@entsoe.eu • www. entsoe.eu</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218A" w14:textId="77777777" w:rsidR="00EB2CFF" w:rsidRDefault="00EB2CFF"/>
  </w:footnote>
  <w:footnote w:type="continuationSeparator" w:id="0">
    <w:p w14:paraId="4D2F938B" w14:textId="77777777" w:rsidR="00EB2CFF" w:rsidRDefault="00EB2CFF"/>
  </w:footnote>
  <w:footnote w:id="1">
    <w:p w14:paraId="71B97CBC" w14:textId="77777777" w:rsidR="00172922" w:rsidRPr="00172922" w:rsidRDefault="00172922" w:rsidP="00172922">
      <w:pPr>
        <w:jc w:val="both"/>
        <w:rPr>
          <w:rFonts w:ascii="Times New Roman" w:hAnsi="Times New Roman" w:cs="Times New Roman"/>
          <w:sz w:val="18"/>
          <w:szCs w:val="22"/>
        </w:rPr>
      </w:pPr>
      <w:r w:rsidRPr="00172922">
        <w:rPr>
          <w:rStyle w:val="FootnoteReference"/>
          <w:sz w:val="20"/>
          <w:szCs w:val="20"/>
          <w:lang w:bidi="lv-LV"/>
        </w:rPr>
        <w:footnoteRef/>
      </w:r>
      <w:r w:rsidRPr="00172922">
        <w:rPr>
          <w:sz w:val="20"/>
          <w:szCs w:val="20"/>
          <w:lang w:bidi="lv-LV"/>
        </w:rPr>
        <w:t xml:space="preserve"> </w:t>
      </w:r>
      <w:r w:rsidRPr="00172922">
        <w:rPr>
          <w:rFonts w:ascii="Times New Roman" w:eastAsia="Times New Roman" w:hAnsi="Times New Roman" w:cs="Times New Roman"/>
          <w:sz w:val="18"/>
          <w:szCs w:val="22"/>
          <w:lang w:bidi="lv-LV"/>
        </w:rPr>
        <w:t>Cenas sasaistīšanas algoritma un nepārtrauktas tirdzniecības savietošanas algoritma metodikā noteikto prasību izpildei atbilstoši Komisijas Regulas (ES) Nr. 2015/1222 37. panta 5. punktam var būt nepieciešama virtuālo tirdzniecības zonu izveide (sal. 1. pielikuma 2.1.k prasība). Šīs virtuālās tirdzniecības zonas var būt papildinātas ar virtuālām grafiku sagatavošanas zonām un virtuālām NETO tirdzniecības platformām, lai nodrošinātu pienācīgu funkcionalitātes modeļu izstrādi. Šādas virtuālās tirdzniecības zonas tiek iekļautas šā priekšlikuma darbības jomā.</w:t>
      </w:r>
    </w:p>
    <w:p w14:paraId="57837612" w14:textId="115129B3" w:rsidR="00172922" w:rsidRPr="00172922" w:rsidRDefault="00172922">
      <w:pPr>
        <w:pStyle w:val="FootnoteText"/>
      </w:pPr>
    </w:p>
  </w:footnote>
  <w:footnote w:id="2">
    <w:p w14:paraId="44F75D82" w14:textId="35336F5B" w:rsidR="00172922" w:rsidRPr="00172922" w:rsidRDefault="00172922">
      <w:pPr>
        <w:pStyle w:val="FootnoteText"/>
        <w:rPr>
          <w:sz w:val="16"/>
        </w:rPr>
      </w:pPr>
      <w:r w:rsidRPr="00172922">
        <w:rPr>
          <w:rStyle w:val="FootnoteReference"/>
          <w:sz w:val="16"/>
          <w:szCs w:val="16"/>
          <w:lang w:bidi="lv-LV"/>
        </w:rPr>
        <w:footnoteRef/>
      </w:r>
      <w:r w:rsidRPr="00172922">
        <w:rPr>
          <w:sz w:val="16"/>
          <w:szCs w:val="16"/>
          <w:lang w:bidi="lv-LV"/>
        </w:rPr>
        <w:t xml:space="preserve"> </w:t>
      </w:r>
      <w:r w:rsidRPr="00172922">
        <w:rPr>
          <w:rFonts w:ascii="Times New Roman" w:eastAsia="Times New Roman" w:hAnsi="Times New Roman" w:cs="Times New Roman"/>
          <w:sz w:val="18"/>
          <w:szCs w:val="22"/>
          <w:lang w:bidi="lv-LV"/>
        </w:rPr>
        <w:t xml:space="preserve">Ja starp divām vai vairākām tirdzniecības zonām, kurās piemēro KNPJ metodi, rodas pārslodze (t. i., nebija spēkā neviens jaudas piešķiršanas ierobežojums un tirdzniecības zonas cenas ir identiskas), ir pieejami vairāki risinājumi: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000"/>
    </w:tblGrid>
    <w:tr w:rsidR="005F76FF" w14:paraId="26531578" w14:textId="77777777" w:rsidTr="0078685C">
      <w:tc>
        <w:tcPr>
          <w:tcW w:w="6300" w:type="dxa"/>
        </w:tcPr>
        <w:p w14:paraId="277FC9DF" w14:textId="5A1AD9C8" w:rsidR="005F76FF" w:rsidRPr="00394C42" w:rsidRDefault="005F76FF" w:rsidP="005F76FF">
          <w:pPr>
            <w:pStyle w:val="Headerorfooter20"/>
            <w:shd w:val="clear" w:color="auto" w:fill="auto"/>
          </w:pPr>
          <w:bookmarkStart w:id="44" w:name="_Hlk536525390"/>
          <w:r w:rsidRPr="00EA40E2">
            <w:rPr>
              <w:sz w:val="16"/>
              <w:szCs w:val="16"/>
              <w:lang w:bidi="lv-LV"/>
            </w:rPr>
            <w:t>Visu PSO priekšlikums metodikai, ar kuru aprēķina plānoto apmaiņu, kas izriet no vienotas nākamās dienas tirgus sasaistīšanas, saskaņā ar 2015. gada 24. jūlija Komisijas Regulas (ES) Nr. 2015/1222, ar ko izveido jaudas piešķiršanas un pārslodzes vadības vadlīnijas, 43. pantu</w:t>
          </w:r>
        </w:p>
      </w:tc>
      <w:tc>
        <w:tcPr>
          <w:tcW w:w="2000" w:type="dxa"/>
        </w:tcPr>
        <w:p w14:paraId="6C702BF4" w14:textId="77777777" w:rsidR="005F76FF" w:rsidRDefault="005F76FF" w:rsidP="005F76FF">
          <w:pPr>
            <w:jc w:val="right"/>
            <w:rPr>
              <w:rFonts w:ascii="Times New Roman" w:hAnsi="Times New Roman" w:cs="Times New Roman"/>
              <w:i/>
            </w:rPr>
          </w:pPr>
          <w:r>
            <w:rPr>
              <w:rFonts w:ascii="Times New Roman" w:eastAsia="Times New Roman" w:hAnsi="Times New Roman" w:cs="Times New Roman"/>
              <w:i/>
              <w:lang w:bidi="lv-LV"/>
            </w:rPr>
            <w:t>(logotips)</w:t>
          </w:r>
        </w:p>
      </w:tc>
    </w:tr>
    <w:bookmarkEnd w:id="44"/>
  </w:tbl>
  <w:p w14:paraId="6BF24560" w14:textId="02A2C2FF" w:rsidR="00C7138F" w:rsidRDefault="00C7138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FD"/>
    <w:multiLevelType w:val="multilevel"/>
    <w:tmpl w:val="3A1CA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A1075"/>
    <w:multiLevelType w:val="hybridMultilevel"/>
    <w:tmpl w:val="71CE6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B1ECD"/>
    <w:multiLevelType w:val="hybridMultilevel"/>
    <w:tmpl w:val="E1C4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A047E"/>
    <w:multiLevelType w:val="hybridMultilevel"/>
    <w:tmpl w:val="7362080E"/>
    <w:lvl w:ilvl="0" w:tplc="10EEC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1C48AE"/>
    <w:multiLevelType w:val="multilevel"/>
    <w:tmpl w:val="E1CCD1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ED6BD5"/>
    <w:multiLevelType w:val="hybridMultilevel"/>
    <w:tmpl w:val="209C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E8B"/>
    <w:multiLevelType w:val="hybridMultilevel"/>
    <w:tmpl w:val="8744DF5C"/>
    <w:lvl w:ilvl="0" w:tplc="70C0D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BE48D8"/>
    <w:multiLevelType w:val="multilevel"/>
    <w:tmpl w:val="91C48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D97A20"/>
    <w:multiLevelType w:val="hybridMultilevel"/>
    <w:tmpl w:val="FA403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783474"/>
    <w:multiLevelType w:val="hybridMultilevel"/>
    <w:tmpl w:val="52E6DA66"/>
    <w:lvl w:ilvl="0" w:tplc="04AA675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C5FAB"/>
    <w:multiLevelType w:val="hybridMultilevel"/>
    <w:tmpl w:val="0DB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A5504"/>
    <w:multiLevelType w:val="hybridMultilevel"/>
    <w:tmpl w:val="4704F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D50B4"/>
    <w:multiLevelType w:val="hybridMultilevel"/>
    <w:tmpl w:val="DF30B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148E0"/>
    <w:multiLevelType w:val="hybridMultilevel"/>
    <w:tmpl w:val="A96AC884"/>
    <w:lvl w:ilvl="0" w:tplc="95A8C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255FE3"/>
    <w:multiLevelType w:val="multilevel"/>
    <w:tmpl w:val="9CC82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353AFE"/>
    <w:multiLevelType w:val="hybridMultilevel"/>
    <w:tmpl w:val="D1DED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D72963"/>
    <w:multiLevelType w:val="multilevel"/>
    <w:tmpl w:val="F16EC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B86410"/>
    <w:multiLevelType w:val="hybridMultilevel"/>
    <w:tmpl w:val="67C68E7E"/>
    <w:lvl w:ilvl="0" w:tplc="2B0E4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AA1829"/>
    <w:multiLevelType w:val="hybridMultilevel"/>
    <w:tmpl w:val="2FE26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110A4"/>
    <w:multiLevelType w:val="multilevel"/>
    <w:tmpl w:val="2AECE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CF3BED"/>
    <w:multiLevelType w:val="hybridMultilevel"/>
    <w:tmpl w:val="227C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7659F2"/>
    <w:multiLevelType w:val="hybridMultilevel"/>
    <w:tmpl w:val="9DEE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B173AD"/>
    <w:multiLevelType w:val="multilevel"/>
    <w:tmpl w:val="25DCE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9A21C0"/>
    <w:multiLevelType w:val="multilevel"/>
    <w:tmpl w:val="F66C1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E55AF1"/>
    <w:multiLevelType w:val="hybridMultilevel"/>
    <w:tmpl w:val="9A3688E4"/>
    <w:lvl w:ilvl="0" w:tplc="9B7C8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FB33A1"/>
    <w:multiLevelType w:val="multilevel"/>
    <w:tmpl w:val="C6F8C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123D42"/>
    <w:multiLevelType w:val="hybridMultilevel"/>
    <w:tmpl w:val="6040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B0B26"/>
    <w:multiLevelType w:val="hybridMultilevel"/>
    <w:tmpl w:val="07F2264A"/>
    <w:lvl w:ilvl="0" w:tplc="1DBAD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436B4A"/>
    <w:multiLevelType w:val="multilevel"/>
    <w:tmpl w:val="AB3233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455CE1"/>
    <w:multiLevelType w:val="multilevel"/>
    <w:tmpl w:val="B7C6D8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4C42AC"/>
    <w:multiLevelType w:val="hybridMultilevel"/>
    <w:tmpl w:val="E7740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10EF6"/>
    <w:multiLevelType w:val="hybridMultilevel"/>
    <w:tmpl w:val="A626769C"/>
    <w:lvl w:ilvl="0" w:tplc="368849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B597B"/>
    <w:multiLevelType w:val="hybridMultilevel"/>
    <w:tmpl w:val="FA9CE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8104A9"/>
    <w:multiLevelType w:val="hybridMultilevel"/>
    <w:tmpl w:val="F26CD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4D1DFE"/>
    <w:multiLevelType w:val="hybridMultilevel"/>
    <w:tmpl w:val="2544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C4F8D"/>
    <w:multiLevelType w:val="multilevel"/>
    <w:tmpl w:val="3FD431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8C407B"/>
    <w:multiLevelType w:val="multilevel"/>
    <w:tmpl w:val="F0245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A81116"/>
    <w:multiLevelType w:val="hybridMultilevel"/>
    <w:tmpl w:val="F4A4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344000"/>
    <w:multiLevelType w:val="multilevel"/>
    <w:tmpl w:val="132CBB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633207"/>
    <w:multiLevelType w:val="hybridMultilevel"/>
    <w:tmpl w:val="3B9AEC8A"/>
    <w:lvl w:ilvl="0" w:tplc="3CE0E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812C85"/>
    <w:multiLevelType w:val="multilevel"/>
    <w:tmpl w:val="64BCE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B3485B"/>
    <w:multiLevelType w:val="multilevel"/>
    <w:tmpl w:val="0D386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001A99"/>
    <w:multiLevelType w:val="hybridMultilevel"/>
    <w:tmpl w:val="43825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DFE0A0F"/>
    <w:multiLevelType w:val="hybridMultilevel"/>
    <w:tmpl w:val="22EE5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8D18F2"/>
    <w:multiLevelType w:val="hybridMultilevel"/>
    <w:tmpl w:val="5C467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1EF308C"/>
    <w:multiLevelType w:val="multilevel"/>
    <w:tmpl w:val="669866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6F54D1"/>
    <w:multiLevelType w:val="multilevel"/>
    <w:tmpl w:val="1F3A3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662E72"/>
    <w:multiLevelType w:val="hybridMultilevel"/>
    <w:tmpl w:val="8FC4B73E"/>
    <w:lvl w:ilvl="0" w:tplc="B6F0C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A465EE"/>
    <w:multiLevelType w:val="multilevel"/>
    <w:tmpl w:val="3AE4CF3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C96CD1"/>
    <w:multiLevelType w:val="hybridMultilevel"/>
    <w:tmpl w:val="D5EC3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8"/>
  </w:num>
  <w:num w:numId="3">
    <w:abstractNumId w:val="48"/>
  </w:num>
  <w:num w:numId="4">
    <w:abstractNumId w:val="0"/>
  </w:num>
  <w:num w:numId="5">
    <w:abstractNumId w:val="40"/>
  </w:num>
  <w:num w:numId="6">
    <w:abstractNumId w:val="7"/>
  </w:num>
  <w:num w:numId="7">
    <w:abstractNumId w:val="41"/>
  </w:num>
  <w:num w:numId="8">
    <w:abstractNumId w:val="4"/>
  </w:num>
  <w:num w:numId="9">
    <w:abstractNumId w:val="23"/>
  </w:num>
  <w:num w:numId="10">
    <w:abstractNumId w:val="35"/>
  </w:num>
  <w:num w:numId="11">
    <w:abstractNumId w:val="22"/>
  </w:num>
  <w:num w:numId="12">
    <w:abstractNumId w:val="45"/>
  </w:num>
  <w:num w:numId="13">
    <w:abstractNumId w:val="36"/>
  </w:num>
  <w:num w:numId="14">
    <w:abstractNumId w:val="29"/>
  </w:num>
  <w:num w:numId="15">
    <w:abstractNumId w:val="25"/>
  </w:num>
  <w:num w:numId="16">
    <w:abstractNumId w:val="28"/>
  </w:num>
  <w:num w:numId="17">
    <w:abstractNumId w:val="46"/>
  </w:num>
  <w:num w:numId="18">
    <w:abstractNumId w:val="19"/>
  </w:num>
  <w:num w:numId="19">
    <w:abstractNumId w:val="16"/>
  </w:num>
  <w:num w:numId="20">
    <w:abstractNumId w:val="20"/>
  </w:num>
  <w:num w:numId="21">
    <w:abstractNumId w:val="37"/>
  </w:num>
  <w:num w:numId="22">
    <w:abstractNumId w:val="8"/>
  </w:num>
  <w:num w:numId="23">
    <w:abstractNumId w:val="2"/>
  </w:num>
  <w:num w:numId="24">
    <w:abstractNumId w:val="32"/>
  </w:num>
  <w:num w:numId="25">
    <w:abstractNumId w:val="11"/>
  </w:num>
  <w:num w:numId="26">
    <w:abstractNumId w:val="5"/>
  </w:num>
  <w:num w:numId="27">
    <w:abstractNumId w:val="26"/>
  </w:num>
  <w:num w:numId="28">
    <w:abstractNumId w:val="33"/>
  </w:num>
  <w:num w:numId="29">
    <w:abstractNumId w:val="34"/>
  </w:num>
  <w:num w:numId="30">
    <w:abstractNumId w:val="30"/>
  </w:num>
  <w:num w:numId="31">
    <w:abstractNumId w:val="1"/>
  </w:num>
  <w:num w:numId="32">
    <w:abstractNumId w:val="12"/>
  </w:num>
  <w:num w:numId="33">
    <w:abstractNumId w:val="18"/>
  </w:num>
  <w:num w:numId="34">
    <w:abstractNumId w:val="10"/>
  </w:num>
  <w:num w:numId="35">
    <w:abstractNumId w:val="17"/>
  </w:num>
  <w:num w:numId="36">
    <w:abstractNumId w:val="3"/>
  </w:num>
  <w:num w:numId="37">
    <w:abstractNumId w:val="13"/>
  </w:num>
  <w:num w:numId="38">
    <w:abstractNumId w:val="27"/>
  </w:num>
  <w:num w:numId="39">
    <w:abstractNumId w:val="44"/>
  </w:num>
  <w:num w:numId="40">
    <w:abstractNumId w:val="31"/>
  </w:num>
  <w:num w:numId="41">
    <w:abstractNumId w:val="47"/>
  </w:num>
  <w:num w:numId="42">
    <w:abstractNumId w:val="39"/>
  </w:num>
  <w:num w:numId="43">
    <w:abstractNumId w:val="21"/>
  </w:num>
  <w:num w:numId="44">
    <w:abstractNumId w:val="49"/>
  </w:num>
  <w:num w:numId="45">
    <w:abstractNumId w:val="9"/>
  </w:num>
  <w:num w:numId="46">
    <w:abstractNumId w:val="15"/>
  </w:num>
  <w:num w:numId="47">
    <w:abstractNumId w:val="42"/>
  </w:num>
  <w:num w:numId="48">
    <w:abstractNumId w:val="43"/>
  </w:num>
  <w:num w:numId="49">
    <w:abstractNumId w:val="2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8F"/>
    <w:rsid w:val="00075CC6"/>
    <w:rsid w:val="00082F0B"/>
    <w:rsid w:val="00172922"/>
    <w:rsid w:val="002D1E50"/>
    <w:rsid w:val="0036608E"/>
    <w:rsid w:val="00437D53"/>
    <w:rsid w:val="00551970"/>
    <w:rsid w:val="00576395"/>
    <w:rsid w:val="0058693D"/>
    <w:rsid w:val="005F76FF"/>
    <w:rsid w:val="006A5C6D"/>
    <w:rsid w:val="006C0D09"/>
    <w:rsid w:val="0082446B"/>
    <w:rsid w:val="00A622AB"/>
    <w:rsid w:val="00AD66AA"/>
    <w:rsid w:val="00BB39AB"/>
    <w:rsid w:val="00C7138F"/>
    <w:rsid w:val="00DC1007"/>
    <w:rsid w:val="00DE1D69"/>
    <w:rsid w:val="00E83B9A"/>
    <w:rsid w:val="00EB2CFF"/>
    <w:rsid w:val="00FB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7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DC10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Narrow" w:eastAsia="Arial Narrow" w:hAnsi="Arial Narrow" w:cs="Arial Narrow"/>
      <w:b/>
      <w:bCs/>
      <w:i w:val="0"/>
      <w:iCs w:val="0"/>
      <w:smallCaps w:val="0"/>
      <w:strike w:val="0"/>
      <w:color w:val="B2B4B3"/>
      <w:sz w:val="15"/>
      <w:szCs w:val="15"/>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strike w:val="0"/>
      <w:sz w:val="30"/>
      <w:szCs w:val="30"/>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color w:val="23236E"/>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6"/>
      <w:szCs w:val="16"/>
      <w:u w:val="none"/>
    </w:rPr>
  </w:style>
  <w:style w:type="paragraph" w:customStyle="1" w:styleId="Bodytext30">
    <w:name w:val="Body text (3)"/>
    <w:basedOn w:val="Normal"/>
    <w:link w:val="Bodytext3"/>
    <w:pPr>
      <w:shd w:val="clear" w:color="auto" w:fill="FFFFFF"/>
      <w:spacing w:after="3600"/>
      <w:ind w:left="5020" w:right="2440"/>
      <w:jc w:val="right"/>
    </w:pPr>
    <w:rPr>
      <w:rFonts w:ascii="Arial Narrow" w:eastAsia="Arial Narrow" w:hAnsi="Arial Narrow" w:cs="Arial Narrow"/>
      <w:b/>
      <w:bCs/>
      <w:color w:val="B2B4B3"/>
      <w:sz w:val="15"/>
      <w:szCs w:val="15"/>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1400" w:line="276" w:lineRule="auto"/>
      <w:jc w:val="center"/>
    </w:pPr>
    <w:rPr>
      <w:rFonts w:ascii="Arial" w:eastAsia="Arial" w:hAnsi="Arial" w:cs="Arial"/>
      <w:b/>
      <w:bCs/>
      <w:sz w:val="36"/>
      <w:szCs w:val="36"/>
    </w:rPr>
  </w:style>
  <w:style w:type="paragraph" w:customStyle="1" w:styleId="Bodytext50">
    <w:name w:val="Body text (5)"/>
    <w:basedOn w:val="Normal"/>
    <w:link w:val="Bodytext5"/>
    <w:pPr>
      <w:shd w:val="clear" w:color="auto" w:fill="FFFFFF"/>
      <w:spacing w:after="100"/>
    </w:pPr>
    <w:rPr>
      <w:rFonts w:ascii="Times New Roman" w:eastAsia="Times New Roman" w:hAnsi="Times New Roman" w:cs="Times New Roman"/>
      <w:i/>
      <w:iCs/>
      <w:smallCaps/>
      <w:sz w:val="30"/>
      <w:szCs w:val="30"/>
    </w:rPr>
  </w:style>
  <w:style w:type="paragraph" w:customStyle="1" w:styleId="Tableofcontents0">
    <w:name w:val="Table of contents"/>
    <w:basedOn w:val="Normal"/>
    <w:link w:val="Tableofcontents"/>
    <w:pPr>
      <w:shd w:val="clear" w:color="auto" w:fill="FFFFFF"/>
      <w:spacing w:after="40"/>
    </w:pPr>
    <w:rPr>
      <w:rFonts w:ascii="Arial" w:eastAsia="Arial" w:hAnsi="Arial" w:cs="Arial"/>
      <w:sz w:val="22"/>
      <w:szCs w:val="22"/>
    </w:rPr>
  </w:style>
  <w:style w:type="paragraph" w:styleId="BodyText">
    <w:name w:val="Body Text"/>
    <w:basedOn w:val="Normal"/>
    <w:link w:val="BodyTextChar"/>
    <w:qFormat/>
    <w:pPr>
      <w:shd w:val="clear" w:color="auto" w:fill="FFFFFF"/>
      <w:spacing w:after="280" w:line="276" w:lineRule="auto"/>
    </w:pPr>
    <w:rPr>
      <w:rFonts w:ascii="Times New Roman" w:eastAsia="Times New Roman" w:hAnsi="Times New Roman" w:cs="Times New Roman"/>
      <w:sz w:val="22"/>
      <w:szCs w:val="22"/>
    </w:rPr>
  </w:style>
  <w:style w:type="paragraph" w:customStyle="1" w:styleId="Heading11">
    <w:name w:val="Heading #1"/>
    <w:basedOn w:val="Normal"/>
    <w:link w:val="Heading10"/>
    <w:pPr>
      <w:shd w:val="clear" w:color="auto" w:fill="FFFFFF"/>
      <w:spacing w:after="280" w:line="252" w:lineRule="auto"/>
      <w:jc w:val="center"/>
      <w:outlineLvl w:val="0"/>
    </w:pPr>
    <w:rPr>
      <w:rFonts w:ascii="Times New Roman" w:eastAsia="Times New Roman" w:hAnsi="Times New Roman" w:cs="Times New Roman"/>
      <w:b/>
      <w:bCs/>
      <w:color w:val="23236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after="240" w:line="302" w:lineRule="auto"/>
      <w:ind w:left="2620"/>
    </w:pPr>
    <w:rPr>
      <w:rFonts w:ascii="Times New Roman" w:eastAsia="Times New Roman" w:hAnsi="Times New Roman" w:cs="Times New Roman"/>
      <w:i/>
      <w:iCs/>
      <w:sz w:val="16"/>
      <w:szCs w:val="16"/>
    </w:rPr>
  </w:style>
  <w:style w:type="paragraph" w:styleId="Header">
    <w:name w:val="header"/>
    <w:basedOn w:val="Normal"/>
    <w:link w:val="HeaderChar"/>
    <w:uiPriority w:val="99"/>
    <w:unhideWhenUsed/>
    <w:rsid w:val="00075CC6"/>
    <w:pPr>
      <w:tabs>
        <w:tab w:val="center" w:pos="4320"/>
        <w:tab w:val="right" w:pos="8640"/>
      </w:tabs>
    </w:pPr>
  </w:style>
  <w:style w:type="character" w:customStyle="1" w:styleId="HeaderChar">
    <w:name w:val="Header Char"/>
    <w:basedOn w:val="DefaultParagraphFont"/>
    <w:link w:val="Header"/>
    <w:uiPriority w:val="99"/>
    <w:rsid w:val="00075CC6"/>
    <w:rPr>
      <w:color w:val="000000"/>
    </w:rPr>
  </w:style>
  <w:style w:type="paragraph" w:styleId="Footer">
    <w:name w:val="footer"/>
    <w:basedOn w:val="Normal"/>
    <w:link w:val="FooterChar"/>
    <w:uiPriority w:val="99"/>
    <w:unhideWhenUsed/>
    <w:rsid w:val="00075CC6"/>
    <w:pPr>
      <w:tabs>
        <w:tab w:val="center" w:pos="4320"/>
        <w:tab w:val="right" w:pos="8640"/>
      </w:tabs>
    </w:pPr>
  </w:style>
  <w:style w:type="character" w:customStyle="1" w:styleId="FooterChar">
    <w:name w:val="Footer Char"/>
    <w:basedOn w:val="DefaultParagraphFont"/>
    <w:link w:val="Footer"/>
    <w:uiPriority w:val="99"/>
    <w:rsid w:val="00075CC6"/>
    <w:rPr>
      <w:color w:val="000000"/>
    </w:rPr>
  </w:style>
  <w:style w:type="table" w:styleId="TableGrid">
    <w:name w:val="Table Grid"/>
    <w:basedOn w:val="TableNormal"/>
    <w:uiPriority w:val="39"/>
    <w:rsid w:val="00437D53"/>
    <w:pPr>
      <w:widowControl/>
    </w:pPr>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D53"/>
    <w:pPr>
      <w:ind w:left="720"/>
      <w:contextualSpacing/>
    </w:pPr>
  </w:style>
  <w:style w:type="paragraph" w:customStyle="1" w:styleId="Default">
    <w:name w:val="Default"/>
    <w:rsid w:val="00437D53"/>
    <w:pPr>
      <w:widowControl/>
      <w:autoSpaceDE w:val="0"/>
      <w:autoSpaceDN w:val="0"/>
      <w:adjustRightInd w:val="0"/>
    </w:pPr>
    <w:rPr>
      <w:rFonts w:ascii="Cambria Math" w:eastAsiaTheme="minorHAnsi" w:hAnsi="Cambria Math" w:cs="Cambria Math"/>
      <w:color w:val="000000"/>
      <w:lang w:bidi="ar-SA"/>
    </w:rPr>
  </w:style>
  <w:style w:type="paragraph" w:styleId="Revision">
    <w:name w:val="Revision"/>
    <w:hidden/>
    <w:uiPriority w:val="99"/>
    <w:semiHidden/>
    <w:rsid w:val="00DC1007"/>
    <w:pPr>
      <w:widowControl/>
    </w:pPr>
    <w:rPr>
      <w:color w:val="000000"/>
    </w:rPr>
  </w:style>
  <w:style w:type="character" w:customStyle="1" w:styleId="Heading1Char">
    <w:name w:val="Heading 1 Char"/>
    <w:basedOn w:val="DefaultParagraphFont"/>
    <w:link w:val="Heading1"/>
    <w:uiPriority w:val="9"/>
    <w:rsid w:val="00DC10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007"/>
    <w:pPr>
      <w:widowControl/>
      <w:spacing w:line="259" w:lineRule="auto"/>
      <w:outlineLvl w:val="9"/>
    </w:pPr>
    <w:rPr>
      <w:lang w:bidi="ar-SA"/>
    </w:rPr>
  </w:style>
  <w:style w:type="paragraph" w:styleId="TOC1">
    <w:name w:val="toc 1"/>
    <w:basedOn w:val="Normal"/>
    <w:next w:val="Normal"/>
    <w:autoRedefine/>
    <w:uiPriority w:val="39"/>
    <w:unhideWhenUsed/>
    <w:rsid w:val="002D1E50"/>
    <w:pPr>
      <w:spacing w:after="100"/>
    </w:pPr>
    <w:rPr>
      <w:rFonts w:ascii="Times New Roman" w:hAnsi="Times New Roman"/>
    </w:rPr>
  </w:style>
  <w:style w:type="character" w:styleId="Hyperlink">
    <w:name w:val="Hyperlink"/>
    <w:basedOn w:val="DefaultParagraphFont"/>
    <w:uiPriority w:val="99"/>
    <w:unhideWhenUsed/>
    <w:rsid w:val="00DC1007"/>
    <w:rPr>
      <w:color w:val="0563C1" w:themeColor="hyperlink"/>
      <w:u w:val="single"/>
    </w:rPr>
  </w:style>
  <w:style w:type="paragraph" w:styleId="FootnoteText">
    <w:name w:val="footnote text"/>
    <w:basedOn w:val="Normal"/>
    <w:link w:val="FootnoteTextChar"/>
    <w:uiPriority w:val="99"/>
    <w:semiHidden/>
    <w:unhideWhenUsed/>
    <w:rsid w:val="00172922"/>
    <w:rPr>
      <w:sz w:val="20"/>
      <w:szCs w:val="20"/>
    </w:rPr>
  </w:style>
  <w:style w:type="character" w:customStyle="1" w:styleId="FootnoteTextChar">
    <w:name w:val="Footnote Text Char"/>
    <w:basedOn w:val="DefaultParagraphFont"/>
    <w:link w:val="FootnoteText"/>
    <w:uiPriority w:val="99"/>
    <w:semiHidden/>
    <w:rsid w:val="00172922"/>
    <w:rPr>
      <w:color w:val="000000"/>
      <w:sz w:val="20"/>
      <w:szCs w:val="20"/>
    </w:rPr>
  </w:style>
  <w:style w:type="character" w:styleId="FootnoteReference">
    <w:name w:val="footnote reference"/>
    <w:basedOn w:val="DefaultParagraphFont"/>
    <w:uiPriority w:val="99"/>
    <w:semiHidden/>
    <w:unhideWhenUsed/>
    <w:rsid w:val="00172922"/>
    <w:rPr>
      <w:vertAlign w:val="superscript"/>
    </w:rPr>
  </w:style>
  <w:style w:type="character" w:styleId="CommentReference">
    <w:name w:val="annotation reference"/>
    <w:basedOn w:val="DefaultParagraphFont"/>
    <w:uiPriority w:val="99"/>
    <w:semiHidden/>
    <w:unhideWhenUsed/>
    <w:rsid w:val="00A622AB"/>
    <w:rPr>
      <w:sz w:val="16"/>
      <w:szCs w:val="16"/>
    </w:rPr>
  </w:style>
  <w:style w:type="paragraph" w:styleId="CommentText">
    <w:name w:val="annotation text"/>
    <w:basedOn w:val="Normal"/>
    <w:link w:val="CommentTextChar"/>
    <w:uiPriority w:val="99"/>
    <w:semiHidden/>
    <w:unhideWhenUsed/>
    <w:rsid w:val="00A622AB"/>
    <w:rPr>
      <w:sz w:val="20"/>
      <w:szCs w:val="20"/>
    </w:rPr>
  </w:style>
  <w:style w:type="character" w:customStyle="1" w:styleId="CommentTextChar">
    <w:name w:val="Comment Text Char"/>
    <w:basedOn w:val="DefaultParagraphFont"/>
    <w:link w:val="CommentText"/>
    <w:uiPriority w:val="99"/>
    <w:semiHidden/>
    <w:rsid w:val="00A622AB"/>
    <w:rPr>
      <w:color w:val="000000"/>
      <w:sz w:val="20"/>
      <w:szCs w:val="20"/>
    </w:rPr>
  </w:style>
  <w:style w:type="paragraph" w:styleId="CommentSubject">
    <w:name w:val="annotation subject"/>
    <w:basedOn w:val="CommentText"/>
    <w:next w:val="CommentText"/>
    <w:link w:val="CommentSubjectChar"/>
    <w:uiPriority w:val="99"/>
    <w:semiHidden/>
    <w:unhideWhenUsed/>
    <w:rsid w:val="00A622AB"/>
    <w:rPr>
      <w:b/>
      <w:bCs/>
    </w:rPr>
  </w:style>
  <w:style w:type="character" w:customStyle="1" w:styleId="CommentSubjectChar">
    <w:name w:val="Comment Subject Char"/>
    <w:basedOn w:val="CommentTextChar"/>
    <w:link w:val="CommentSubject"/>
    <w:uiPriority w:val="99"/>
    <w:semiHidden/>
    <w:rsid w:val="00A622AB"/>
    <w:rPr>
      <w:b/>
      <w:bCs/>
      <w:color w:val="000000"/>
      <w:sz w:val="20"/>
      <w:szCs w:val="20"/>
    </w:rPr>
  </w:style>
  <w:style w:type="paragraph" w:styleId="BalloonText">
    <w:name w:val="Balloon Text"/>
    <w:basedOn w:val="Normal"/>
    <w:link w:val="BalloonTextChar"/>
    <w:uiPriority w:val="99"/>
    <w:semiHidden/>
    <w:unhideWhenUsed/>
    <w:rsid w:val="00A6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AB"/>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DC10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Narrow" w:eastAsia="Arial Narrow" w:hAnsi="Arial Narrow" w:cs="Arial Narrow"/>
      <w:b/>
      <w:bCs/>
      <w:i w:val="0"/>
      <w:iCs w:val="0"/>
      <w:smallCaps w:val="0"/>
      <w:strike w:val="0"/>
      <w:color w:val="B2B4B3"/>
      <w:sz w:val="15"/>
      <w:szCs w:val="15"/>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strike w:val="0"/>
      <w:sz w:val="30"/>
      <w:szCs w:val="30"/>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color w:val="23236E"/>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6"/>
      <w:szCs w:val="16"/>
      <w:u w:val="none"/>
    </w:rPr>
  </w:style>
  <w:style w:type="paragraph" w:customStyle="1" w:styleId="Bodytext30">
    <w:name w:val="Body text (3)"/>
    <w:basedOn w:val="Normal"/>
    <w:link w:val="Bodytext3"/>
    <w:pPr>
      <w:shd w:val="clear" w:color="auto" w:fill="FFFFFF"/>
      <w:spacing w:after="3600"/>
      <w:ind w:left="5020" w:right="2440"/>
      <w:jc w:val="right"/>
    </w:pPr>
    <w:rPr>
      <w:rFonts w:ascii="Arial Narrow" w:eastAsia="Arial Narrow" w:hAnsi="Arial Narrow" w:cs="Arial Narrow"/>
      <w:b/>
      <w:bCs/>
      <w:color w:val="B2B4B3"/>
      <w:sz w:val="15"/>
      <w:szCs w:val="15"/>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1400" w:line="276" w:lineRule="auto"/>
      <w:jc w:val="center"/>
    </w:pPr>
    <w:rPr>
      <w:rFonts w:ascii="Arial" w:eastAsia="Arial" w:hAnsi="Arial" w:cs="Arial"/>
      <w:b/>
      <w:bCs/>
      <w:sz w:val="36"/>
      <w:szCs w:val="36"/>
    </w:rPr>
  </w:style>
  <w:style w:type="paragraph" w:customStyle="1" w:styleId="Bodytext50">
    <w:name w:val="Body text (5)"/>
    <w:basedOn w:val="Normal"/>
    <w:link w:val="Bodytext5"/>
    <w:pPr>
      <w:shd w:val="clear" w:color="auto" w:fill="FFFFFF"/>
      <w:spacing w:after="100"/>
    </w:pPr>
    <w:rPr>
      <w:rFonts w:ascii="Times New Roman" w:eastAsia="Times New Roman" w:hAnsi="Times New Roman" w:cs="Times New Roman"/>
      <w:i/>
      <w:iCs/>
      <w:smallCaps/>
      <w:sz w:val="30"/>
      <w:szCs w:val="30"/>
    </w:rPr>
  </w:style>
  <w:style w:type="paragraph" w:customStyle="1" w:styleId="Tableofcontents0">
    <w:name w:val="Table of contents"/>
    <w:basedOn w:val="Normal"/>
    <w:link w:val="Tableofcontents"/>
    <w:pPr>
      <w:shd w:val="clear" w:color="auto" w:fill="FFFFFF"/>
      <w:spacing w:after="40"/>
    </w:pPr>
    <w:rPr>
      <w:rFonts w:ascii="Arial" w:eastAsia="Arial" w:hAnsi="Arial" w:cs="Arial"/>
      <w:sz w:val="22"/>
      <w:szCs w:val="22"/>
    </w:rPr>
  </w:style>
  <w:style w:type="paragraph" w:styleId="BodyText">
    <w:name w:val="Body Text"/>
    <w:basedOn w:val="Normal"/>
    <w:link w:val="BodyTextChar"/>
    <w:qFormat/>
    <w:pPr>
      <w:shd w:val="clear" w:color="auto" w:fill="FFFFFF"/>
      <w:spacing w:after="280" w:line="276" w:lineRule="auto"/>
    </w:pPr>
    <w:rPr>
      <w:rFonts w:ascii="Times New Roman" w:eastAsia="Times New Roman" w:hAnsi="Times New Roman" w:cs="Times New Roman"/>
      <w:sz w:val="22"/>
      <w:szCs w:val="22"/>
    </w:rPr>
  </w:style>
  <w:style w:type="paragraph" w:customStyle="1" w:styleId="Heading11">
    <w:name w:val="Heading #1"/>
    <w:basedOn w:val="Normal"/>
    <w:link w:val="Heading10"/>
    <w:pPr>
      <w:shd w:val="clear" w:color="auto" w:fill="FFFFFF"/>
      <w:spacing w:after="280" w:line="252" w:lineRule="auto"/>
      <w:jc w:val="center"/>
      <w:outlineLvl w:val="0"/>
    </w:pPr>
    <w:rPr>
      <w:rFonts w:ascii="Times New Roman" w:eastAsia="Times New Roman" w:hAnsi="Times New Roman" w:cs="Times New Roman"/>
      <w:b/>
      <w:bCs/>
      <w:color w:val="23236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after="240" w:line="302" w:lineRule="auto"/>
      <w:ind w:left="2620"/>
    </w:pPr>
    <w:rPr>
      <w:rFonts w:ascii="Times New Roman" w:eastAsia="Times New Roman" w:hAnsi="Times New Roman" w:cs="Times New Roman"/>
      <w:i/>
      <w:iCs/>
      <w:sz w:val="16"/>
      <w:szCs w:val="16"/>
    </w:rPr>
  </w:style>
  <w:style w:type="paragraph" w:styleId="Header">
    <w:name w:val="header"/>
    <w:basedOn w:val="Normal"/>
    <w:link w:val="HeaderChar"/>
    <w:uiPriority w:val="99"/>
    <w:unhideWhenUsed/>
    <w:rsid w:val="00075CC6"/>
    <w:pPr>
      <w:tabs>
        <w:tab w:val="center" w:pos="4320"/>
        <w:tab w:val="right" w:pos="8640"/>
      </w:tabs>
    </w:pPr>
  </w:style>
  <w:style w:type="character" w:customStyle="1" w:styleId="HeaderChar">
    <w:name w:val="Header Char"/>
    <w:basedOn w:val="DefaultParagraphFont"/>
    <w:link w:val="Header"/>
    <w:uiPriority w:val="99"/>
    <w:rsid w:val="00075CC6"/>
    <w:rPr>
      <w:color w:val="000000"/>
    </w:rPr>
  </w:style>
  <w:style w:type="paragraph" w:styleId="Footer">
    <w:name w:val="footer"/>
    <w:basedOn w:val="Normal"/>
    <w:link w:val="FooterChar"/>
    <w:uiPriority w:val="99"/>
    <w:unhideWhenUsed/>
    <w:rsid w:val="00075CC6"/>
    <w:pPr>
      <w:tabs>
        <w:tab w:val="center" w:pos="4320"/>
        <w:tab w:val="right" w:pos="8640"/>
      </w:tabs>
    </w:pPr>
  </w:style>
  <w:style w:type="character" w:customStyle="1" w:styleId="FooterChar">
    <w:name w:val="Footer Char"/>
    <w:basedOn w:val="DefaultParagraphFont"/>
    <w:link w:val="Footer"/>
    <w:uiPriority w:val="99"/>
    <w:rsid w:val="00075CC6"/>
    <w:rPr>
      <w:color w:val="000000"/>
    </w:rPr>
  </w:style>
  <w:style w:type="table" w:styleId="TableGrid">
    <w:name w:val="Table Grid"/>
    <w:basedOn w:val="TableNormal"/>
    <w:uiPriority w:val="39"/>
    <w:rsid w:val="00437D53"/>
    <w:pPr>
      <w:widowControl/>
    </w:pPr>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D53"/>
    <w:pPr>
      <w:ind w:left="720"/>
      <w:contextualSpacing/>
    </w:pPr>
  </w:style>
  <w:style w:type="paragraph" w:customStyle="1" w:styleId="Default">
    <w:name w:val="Default"/>
    <w:rsid w:val="00437D53"/>
    <w:pPr>
      <w:widowControl/>
      <w:autoSpaceDE w:val="0"/>
      <w:autoSpaceDN w:val="0"/>
      <w:adjustRightInd w:val="0"/>
    </w:pPr>
    <w:rPr>
      <w:rFonts w:ascii="Cambria Math" w:eastAsiaTheme="minorHAnsi" w:hAnsi="Cambria Math" w:cs="Cambria Math"/>
      <w:color w:val="000000"/>
      <w:lang w:bidi="ar-SA"/>
    </w:rPr>
  </w:style>
  <w:style w:type="paragraph" w:styleId="Revision">
    <w:name w:val="Revision"/>
    <w:hidden/>
    <w:uiPriority w:val="99"/>
    <w:semiHidden/>
    <w:rsid w:val="00DC1007"/>
    <w:pPr>
      <w:widowControl/>
    </w:pPr>
    <w:rPr>
      <w:color w:val="000000"/>
    </w:rPr>
  </w:style>
  <w:style w:type="character" w:customStyle="1" w:styleId="Heading1Char">
    <w:name w:val="Heading 1 Char"/>
    <w:basedOn w:val="DefaultParagraphFont"/>
    <w:link w:val="Heading1"/>
    <w:uiPriority w:val="9"/>
    <w:rsid w:val="00DC10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007"/>
    <w:pPr>
      <w:widowControl/>
      <w:spacing w:line="259" w:lineRule="auto"/>
      <w:outlineLvl w:val="9"/>
    </w:pPr>
    <w:rPr>
      <w:lang w:bidi="ar-SA"/>
    </w:rPr>
  </w:style>
  <w:style w:type="paragraph" w:styleId="TOC1">
    <w:name w:val="toc 1"/>
    <w:basedOn w:val="Normal"/>
    <w:next w:val="Normal"/>
    <w:autoRedefine/>
    <w:uiPriority w:val="39"/>
    <w:unhideWhenUsed/>
    <w:rsid w:val="002D1E50"/>
    <w:pPr>
      <w:spacing w:after="100"/>
    </w:pPr>
    <w:rPr>
      <w:rFonts w:ascii="Times New Roman" w:hAnsi="Times New Roman"/>
    </w:rPr>
  </w:style>
  <w:style w:type="character" w:styleId="Hyperlink">
    <w:name w:val="Hyperlink"/>
    <w:basedOn w:val="DefaultParagraphFont"/>
    <w:uiPriority w:val="99"/>
    <w:unhideWhenUsed/>
    <w:rsid w:val="00DC1007"/>
    <w:rPr>
      <w:color w:val="0563C1" w:themeColor="hyperlink"/>
      <w:u w:val="single"/>
    </w:rPr>
  </w:style>
  <w:style w:type="paragraph" w:styleId="FootnoteText">
    <w:name w:val="footnote text"/>
    <w:basedOn w:val="Normal"/>
    <w:link w:val="FootnoteTextChar"/>
    <w:uiPriority w:val="99"/>
    <w:semiHidden/>
    <w:unhideWhenUsed/>
    <w:rsid w:val="00172922"/>
    <w:rPr>
      <w:sz w:val="20"/>
      <w:szCs w:val="20"/>
    </w:rPr>
  </w:style>
  <w:style w:type="character" w:customStyle="1" w:styleId="FootnoteTextChar">
    <w:name w:val="Footnote Text Char"/>
    <w:basedOn w:val="DefaultParagraphFont"/>
    <w:link w:val="FootnoteText"/>
    <w:uiPriority w:val="99"/>
    <w:semiHidden/>
    <w:rsid w:val="00172922"/>
    <w:rPr>
      <w:color w:val="000000"/>
      <w:sz w:val="20"/>
      <w:szCs w:val="20"/>
    </w:rPr>
  </w:style>
  <w:style w:type="character" w:styleId="FootnoteReference">
    <w:name w:val="footnote reference"/>
    <w:basedOn w:val="DefaultParagraphFont"/>
    <w:uiPriority w:val="99"/>
    <w:semiHidden/>
    <w:unhideWhenUsed/>
    <w:rsid w:val="00172922"/>
    <w:rPr>
      <w:vertAlign w:val="superscript"/>
    </w:rPr>
  </w:style>
  <w:style w:type="character" w:styleId="CommentReference">
    <w:name w:val="annotation reference"/>
    <w:basedOn w:val="DefaultParagraphFont"/>
    <w:uiPriority w:val="99"/>
    <w:semiHidden/>
    <w:unhideWhenUsed/>
    <w:rsid w:val="00A622AB"/>
    <w:rPr>
      <w:sz w:val="16"/>
      <w:szCs w:val="16"/>
    </w:rPr>
  </w:style>
  <w:style w:type="paragraph" w:styleId="CommentText">
    <w:name w:val="annotation text"/>
    <w:basedOn w:val="Normal"/>
    <w:link w:val="CommentTextChar"/>
    <w:uiPriority w:val="99"/>
    <w:semiHidden/>
    <w:unhideWhenUsed/>
    <w:rsid w:val="00A622AB"/>
    <w:rPr>
      <w:sz w:val="20"/>
      <w:szCs w:val="20"/>
    </w:rPr>
  </w:style>
  <w:style w:type="character" w:customStyle="1" w:styleId="CommentTextChar">
    <w:name w:val="Comment Text Char"/>
    <w:basedOn w:val="DefaultParagraphFont"/>
    <w:link w:val="CommentText"/>
    <w:uiPriority w:val="99"/>
    <w:semiHidden/>
    <w:rsid w:val="00A622AB"/>
    <w:rPr>
      <w:color w:val="000000"/>
      <w:sz w:val="20"/>
      <w:szCs w:val="20"/>
    </w:rPr>
  </w:style>
  <w:style w:type="paragraph" w:styleId="CommentSubject">
    <w:name w:val="annotation subject"/>
    <w:basedOn w:val="CommentText"/>
    <w:next w:val="CommentText"/>
    <w:link w:val="CommentSubjectChar"/>
    <w:uiPriority w:val="99"/>
    <w:semiHidden/>
    <w:unhideWhenUsed/>
    <w:rsid w:val="00A622AB"/>
    <w:rPr>
      <w:b/>
      <w:bCs/>
    </w:rPr>
  </w:style>
  <w:style w:type="character" w:customStyle="1" w:styleId="CommentSubjectChar">
    <w:name w:val="Comment Subject Char"/>
    <w:basedOn w:val="CommentTextChar"/>
    <w:link w:val="CommentSubject"/>
    <w:uiPriority w:val="99"/>
    <w:semiHidden/>
    <w:rsid w:val="00A622AB"/>
    <w:rPr>
      <w:b/>
      <w:bCs/>
      <w:color w:val="000000"/>
      <w:sz w:val="20"/>
      <w:szCs w:val="20"/>
    </w:rPr>
  </w:style>
  <w:style w:type="paragraph" w:styleId="BalloonText">
    <w:name w:val="Balloon Text"/>
    <w:basedOn w:val="Normal"/>
    <w:link w:val="BalloonTextChar"/>
    <w:uiPriority w:val="99"/>
    <w:semiHidden/>
    <w:unhideWhenUsed/>
    <w:rsid w:val="00A6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A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748B-7FC1-47C9-8504-636C5C4E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17507</Words>
  <Characters>9979</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All TSOs’ proposal for a Methodology for Calculating Scheduled Exchanges resulting from single day-ahead coupling in accordance with Article 43 of the Commission Regulation (EU) 2015/1222 of 24 July 2015 establishing a guideline on capacity allocation and</vt:lpstr>
    </vt:vector>
  </TitlesOfParts>
  <Company>Latvenergo</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TSOs’ proposal for a Methodology for Calculating Scheduled Exchanges resulting from single day-ahead coupling in accordance with Article 43 of the Commission Regulation (EU) 2015/1222 of 24 July 2015 establishing a guideline on capacity allocation and congestion management</dc:title>
  <dc:creator>Volha Veramyeva</dc:creator>
  <cp:lastModifiedBy>Zane Mūrniece</cp:lastModifiedBy>
  <cp:revision>3</cp:revision>
  <dcterms:created xsi:type="dcterms:W3CDTF">2019-02-07T12:51:00Z</dcterms:created>
  <dcterms:modified xsi:type="dcterms:W3CDTF">2019-02-07T12:51:00Z</dcterms:modified>
</cp:coreProperties>
</file>