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2979D" w14:textId="1A28A392" w:rsidR="003C08D4" w:rsidRDefault="003C08D4" w:rsidP="003C08D4">
      <w:pPr>
        <w:jc w:val="right"/>
        <w:rPr>
          <w:rFonts w:ascii="Times New Roman" w:hAnsi="Times New Roman" w:cs="Times New Roman"/>
          <w:sz w:val="16"/>
          <w:szCs w:val="16"/>
        </w:rPr>
      </w:pPr>
      <w:r w:rsidRPr="000B36D5">
        <w:rPr>
          <w:rFonts w:ascii="Times New Roman" w:eastAsia="Times New Roman" w:hAnsi="Times New Roman" w:cs="Times New Roman"/>
          <w:sz w:val="16"/>
          <w:szCs w:val="16"/>
          <w:lang w:bidi="lv-LV"/>
        </w:rPr>
        <w:t>Elektroenerģijas pārvades sistēmu operatoru Eiropas tīkls</w:t>
      </w:r>
    </w:p>
    <w:p w14:paraId="1B2F4F95" w14:textId="77777777" w:rsidR="003C08D4" w:rsidRDefault="003C08D4" w:rsidP="003C08D4">
      <w:pPr>
        <w:jc w:val="right"/>
        <w:rPr>
          <w:rFonts w:ascii="Times New Roman" w:hAnsi="Times New Roman" w:cs="Times New Roman"/>
          <w:sz w:val="16"/>
          <w:szCs w:val="16"/>
        </w:rPr>
      </w:pPr>
    </w:p>
    <w:p w14:paraId="010CD00A" w14:textId="77777777" w:rsidR="003C08D4" w:rsidRDefault="003C08D4" w:rsidP="003C08D4">
      <w:pPr>
        <w:jc w:val="right"/>
        <w:rPr>
          <w:rFonts w:ascii="Times New Roman" w:hAnsi="Times New Roman" w:cs="Times New Roman"/>
          <w:sz w:val="16"/>
          <w:szCs w:val="16"/>
        </w:rPr>
      </w:pPr>
    </w:p>
    <w:p w14:paraId="6395B8FE" w14:textId="77777777" w:rsidR="003C08D4" w:rsidRDefault="003C08D4" w:rsidP="003C08D4">
      <w:pPr>
        <w:jc w:val="right"/>
        <w:rPr>
          <w:rFonts w:ascii="Times New Roman" w:hAnsi="Times New Roman" w:cs="Times New Roman"/>
          <w:sz w:val="16"/>
          <w:szCs w:val="16"/>
        </w:rPr>
      </w:pPr>
    </w:p>
    <w:p w14:paraId="01E6CC4F" w14:textId="77777777" w:rsidR="003C08D4" w:rsidRDefault="003C08D4" w:rsidP="003C08D4">
      <w:pPr>
        <w:jc w:val="right"/>
        <w:rPr>
          <w:rFonts w:ascii="Times New Roman" w:hAnsi="Times New Roman" w:cs="Times New Roman"/>
          <w:sz w:val="16"/>
          <w:szCs w:val="16"/>
        </w:rPr>
      </w:pPr>
    </w:p>
    <w:p w14:paraId="0E389E16" w14:textId="77777777" w:rsidR="003C08D4" w:rsidRDefault="003C08D4" w:rsidP="003C08D4">
      <w:pPr>
        <w:jc w:val="right"/>
        <w:rPr>
          <w:rFonts w:ascii="Times New Roman" w:hAnsi="Times New Roman" w:cs="Times New Roman"/>
          <w:sz w:val="16"/>
          <w:szCs w:val="16"/>
        </w:rPr>
      </w:pPr>
    </w:p>
    <w:p w14:paraId="2D156BFE" w14:textId="77777777" w:rsidR="003C08D4" w:rsidRDefault="003C08D4" w:rsidP="003C08D4">
      <w:pPr>
        <w:jc w:val="right"/>
        <w:rPr>
          <w:rFonts w:ascii="Times New Roman" w:hAnsi="Times New Roman" w:cs="Times New Roman"/>
          <w:sz w:val="16"/>
          <w:szCs w:val="16"/>
        </w:rPr>
      </w:pPr>
    </w:p>
    <w:p w14:paraId="29DCAA05" w14:textId="77777777" w:rsidR="003C08D4" w:rsidRDefault="003C08D4" w:rsidP="003C08D4">
      <w:pPr>
        <w:jc w:val="right"/>
        <w:rPr>
          <w:rFonts w:ascii="Times New Roman" w:hAnsi="Times New Roman" w:cs="Times New Roman"/>
          <w:sz w:val="16"/>
          <w:szCs w:val="16"/>
        </w:rPr>
      </w:pPr>
    </w:p>
    <w:p w14:paraId="117344E1" w14:textId="77777777" w:rsidR="003C08D4" w:rsidRDefault="003C08D4" w:rsidP="003C08D4">
      <w:pPr>
        <w:jc w:val="right"/>
        <w:rPr>
          <w:rFonts w:ascii="Times New Roman" w:hAnsi="Times New Roman" w:cs="Times New Roman"/>
          <w:sz w:val="16"/>
          <w:szCs w:val="16"/>
        </w:rPr>
      </w:pPr>
    </w:p>
    <w:p w14:paraId="0E263506" w14:textId="77777777" w:rsidR="003C08D4" w:rsidRDefault="003C08D4" w:rsidP="003C08D4">
      <w:pPr>
        <w:jc w:val="right"/>
        <w:rPr>
          <w:rFonts w:ascii="Times New Roman" w:hAnsi="Times New Roman" w:cs="Times New Roman"/>
          <w:sz w:val="16"/>
          <w:szCs w:val="16"/>
        </w:rPr>
      </w:pPr>
    </w:p>
    <w:p w14:paraId="6ACCCD04" w14:textId="77777777" w:rsidR="003C08D4" w:rsidRDefault="003C08D4" w:rsidP="003C08D4">
      <w:pPr>
        <w:jc w:val="right"/>
        <w:rPr>
          <w:rFonts w:ascii="Times New Roman" w:hAnsi="Times New Roman" w:cs="Times New Roman"/>
          <w:sz w:val="16"/>
          <w:szCs w:val="16"/>
        </w:rPr>
      </w:pPr>
    </w:p>
    <w:p w14:paraId="4DE2083D" w14:textId="77777777" w:rsidR="003C08D4" w:rsidRDefault="003C08D4" w:rsidP="003C08D4">
      <w:pPr>
        <w:jc w:val="right"/>
        <w:rPr>
          <w:rFonts w:ascii="Times New Roman" w:hAnsi="Times New Roman" w:cs="Times New Roman"/>
          <w:sz w:val="16"/>
          <w:szCs w:val="16"/>
        </w:rPr>
      </w:pPr>
    </w:p>
    <w:p w14:paraId="7362FAAD" w14:textId="77777777" w:rsidR="003C08D4" w:rsidRPr="000B36D5" w:rsidRDefault="003C08D4" w:rsidP="003C08D4">
      <w:pPr>
        <w:jc w:val="right"/>
        <w:rPr>
          <w:rFonts w:ascii="Times New Roman" w:hAnsi="Times New Roman" w:cs="Times New Roman"/>
          <w:sz w:val="16"/>
          <w:szCs w:val="16"/>
        </w:rPr>
      </w:pPr>
    </w:p>
    <w:tbl>
      <w:tblPr>
        <w:tblStyle w:val="Reatabula"/>
        <w:tblW w:w="0" w:type="auto"/>
        <w:tblLook w:val="04A0" w:firstRow="1" w:lastRow="0" w:firstColumn="1" w:lastColumn="0" w:noHBand="0" w:noVBand="1"/>
      </w:tblPr>
      <w:tblGrid>
        <w:gridCol w:w="8290"/>
      </w:tblGrid>
      <w:tr w:rsidR="003C08D4" w14:paraId="322CA9E0" w14:textId="77777777" w:rsidTr="0078685C">
        <w:tc>
          <w:tcPr>
            <w:tcW w:w="8290" w:type="dxa"/>
            <w:tcBorders>
              <w:left w:val="nil"/>
              <w:right w:val="nil"/>
            </w:tcBorders>
          </w:tcPr>
          <w:p w14:paraId="3737BBFB" w14:textId="49F529DF" w:rsidR="003C08D4" w:rsidRPr="000B36D5" w:rsidRDefault="003C08D4" w:rsidP="0078685C">
            <w:pPr>
              <w:pStyle w:val="Bodytext20"/>
              <w:pBdr>
                <w:bottom w:val="single" w:sz="4" w:space="0" w:color="auto"/>
              </w:pBdr>
              <w:shd w:val="clear" w:color="auto" w:fill="auto"/>
              <w:spacing w:after="0" w:line="240" w:lineRule="auto"/>
            </w:pPr>
            <w:r w:rsidRPr="000B36D5">
              <w:rPr>
                <w:lang w:bidi="lv-LV"/>
              </w:rPr>
              <w:t xml:space="preserve">Visu PSO priekšlikums metodikai, ar kuru aprēķina plānoto apmaiņu, kas izriet no vienotas </w:t>
            </w:r>
            <w:r w:rsidR="003038BA">
              <w:rPr>
                <w:lang w:bidi="lv-LV"/>
              </w:rPr>
              <w:t>tekošās</w:t>
            </w:r>
            <w:r w:rsidR="003038BA" w:rsidRPr="000B36D5">
              <w:rPr>
                <w:lang w:bidi="lv-LV"/>
              </w:rPr>
              <w:t xml:space="preserve"> </w:t>
            </w:r>
            <w:r w:rsidRPr="000B36D5">
              <w:rPr>
                <w:lang w:bidi="lv-LV"/>
              </w:rPr>
              <w:t>dienas tirgus sasaistīšanas, saskaņā ar 2015. gada 24. jūlija Komisijas Regulas (ES) Nr. 2015/1222, ar ko izveido jaudas piešķiršanas un pārslodzes vadības vadlīnijas, 56. pantu</w:t>
            </w:r>
          </w:p>
          <w:p w14:paraId="70334CD8" w14:textId="77777777" w:rsidR="003C08D4" w:rsidRDefault="003C08D4" w:rsidP="0078685C">
            <w:pPr>
              <w:rPr>
                <w:rFonts w:ascii="Times New Roman" w:hAnsi="Times New Roman" w:cs="Times New Roman"/>
              </w:rPr>
            </w:pPr>
          </w:p>
          <w:p w14:paraId="7B17F14D" w14:textId="77777777" w:rsidR="003C08D4" w:rsidRDefault="003C08D4" w:rsidP="0078685C">
            <w:pPr>
              <w:rPr>
                <w:rFonts w:ascii="Times New Roman" w:hAnsi="Times New Roman" w:cs="Times New Roman"/>
              </w:rPr>
            </w:pPr>
          </w:p>
          <w:p w14:paraId="60911A78" w14:textId="77777777" w:rsidR="003C08D4" w:rsidRDefault="003C08D4" w:rsidP="0078685C">
            <w:pPr>
              <w:rPr>
                <w:rFonts w:ascii="Times New Roman" w:hAnsi="Times New Roman" w:cs="Times New Roman"/>
              </w:rPr>
            </w:pPr>
          </w:p>
          <w:p w14:paraId="39B16568" w14:textId="77777777" w:rsidR="003C08D4" w:rsidRDefault="003C08D4" w:rsidP="0078685C">
            <w:pPr>
              <w:rPr>
                <w:rFonts w:ascii="Times New Roman" w:hAnsi="Times New Roman" w:cs="Times New Roman"/>
              </w:rPr>
            </w:pPr>
          </w:p>
          <w:p w14:paraId="658C0B44" w14:textId="77777777" w:rsidR="003C08D4" w:rsidRDefault="003C08D4" w:rsidP="0078685C">
            <w:pPr>
              <w:rPr>
                <w:rFonts w:ascii="Times New Roman" w:hAnsi="Times New Roman" w:cs="Times New Roman"/>
              </w:rPr>
            </w:pPr>
          </w:p>
          <w:p w14:paraId="48990A4B" w14:textId="77777777" w:rsidR="003C08D4" w:rsidRPr="000B36D5" w:rsidRDefault="003C08D4" w:rsidP="0078685C">
            <w:pPr>
              <w:rPr>
                <w:rFonts w:ascii="Times New Roman" w:hAnsi="Times New Roman" w:cs="Times New Roman"/>
                <w:sz w:val="28"/>
                <w:szCs w:val="28"/>
              </w:rPr>
            </w:pPr>
            <w:r w:rsidRPr="000B36D5">
              <w:rPr>
                <w:rFonts w:ascii="Times New Roman" w:eastAsia="Times New Roman" w:hAnsi="Times New Roman" w:cs="Times New Roman"/>
                <w:sz w:val="28"/>
                <w:szCs w:val="28"/>
                <w:lang w:bidi="lv-LV"/>
              </w:rPr>
              <w:t>2018. gada 1. decembrī</w:t>
            </w:r>
          </w:p>
        </w:tc>
      </w:tr>
    </w:tbl>
    <w:p w14:paraId="767DCCEA" w14:textId="77777777" w:rsidR="003C08D4" w:rsidRDefault="003C08D4" w:rsidP="003C08D4">
      <w:pPr>
        <w:rPr>
          <w:rFonts w:ascii="Times New Roman" w:hAnsi="Times New Roman" w:cs="Times New Roman"/>
          <w:sz w:val="22"/>
          <w:szCs w:val="22"/>
        </w:rPr>
      </w:pPr>
    </w:p>
    <w:p w14:paraId="532B2558" w14:textId="77777777" w:rsidR="003C08D4" w:rsidRPr="003C08D4" w:rsidRDefault="003C08D4" w:rsidP="003C08D4">
      <w:pPr>
        <w:widowControl/>
        <w:spacing w:after="160" w:line="259" w:lineRule="auto"/>
        <w:rPr>
          <w:rFonts w:ascii="Times New Roman" w:hAnsi="Times New Roman" w:cs="Times New Roman"/>
          <w:sz w:val="22"/>
          <w:szCs w:val="22"/>
          <w:lang w:val="de-DE"/>
        </w:rPr>
      </w:pPr>
      <w:r>
        <w:rPr>
          <w:rFonts w:ascii="Times New Roman" w:eastAsia="Times New Roman" w:hAnsi="Times New Roman" w:cs="Times New Roman"/>
          <w:sz w:val="22"/>
          <w:szCs w:val="22"/>
          <w:lang w:bidi="lv-LV"/>
        </w:rPr>
        <w:br w:type="page"/>
      </w:r>
    </w:p>
    <w:sdt>
      <w:sdtPr>
        <w:rPr>
          <w:rFonts w:ascii="Courier New" w:eastAsia="Courier New" w:hAnsi="Courier New" w:cs="Courier New"/>
          <w:color w:val="000000"/>
          <w:sz w:val="24"/>
          <w:szCs w:val="24"/>
          <w:lang w:bidi="en-US"/>
        </w:rPr>
        <w:id w:val="-1030953880"/>
        <w:docPartObj>
          <w:docPartGallery w:val="Table of Contents"/>
          <w:docPartUnique/>
        </w:docPartObj>
      </w:sdtPr>
      <w:sdtEndPr>
        <w:rPr>
          <w:b/>
          <w:bCs/>
          <w:noProof/>
        </w:rPr>
      </w:sdtEndPr>
      <w:sdtContent>
        <w:p w14:paraId="39447005" w14:textId="77777777" w:rsidR="003C08D4" w:rsidRPr="00996F67" w:rsidRDefault="003C08D4" w:rsidP="003C08D4">
          <w:pPr>
            <w:pStyle w:val="Saturardtjavirsraksts"/>
            <w:rPr>
              <w:rFonts w:ascii="Times New Roman" w:hAnsi="Times New Roman" w:cs="Times New Roman"/>
              <w:sz w:val="22"/>
              <w:szCs w:val="22"/>
            </w:rPr>
          </w:pPr>
          <w:r w:rsidRPr="00996F67">
            <w:rPr>
              <w:rFonts w:ascii="Times New Roman" w:eastAsia="Times New Roman" w:hAnsi="Times New Roman" w:cs="Times New Roman"/>
              <w:sz w:val="22"/>
              <w:szCs w:val="22"/>
              <w:lang w:bidi="lv-LV"/>
            </w:rPr>
            <w:t>Saturs</w:t>
          </w:r>
        </w:p>
        <w:p w14:paraId="42A3C81D" w14:textId="4531BFF8" w:rsidR="00996F67" w:rsidRDefault="00996F67">
          <w:pPr>
            <w:pStyle w:val="Saturs1"/>
            <w:tabs>
              <w:tab w:val="right" w:leader="dot" w:pos="8290"/>
            </w:tabs>
            <w:rPr>
              <w:rFonts w:asciiTheme="minorHAnsi" w:eastAsiaTheme="minorEastAsia" w:hAnsiTheme="minorHAnsi" w:cstheme="minorBidi"/>
              <w:noProof/>
              <w:color w:val="auto"/>
              <w:sz w:val="22"/>
              <w:szCs w:val="22"/>
              <w:lang w:val="en-US" w:bidi="ar-SA"/>
            </w:rPr>
          </w:pPr>
          <w:r>
            <w:rPr>
              <w:rFonts w:eastAsia="Times New Roman" w:cs="Times New Roman"/>
              <w:b/>
              <w:noProof/>
              <w:sz w:val="22"/>
              <w:szCs w:val="22"/>
              <w:lang w:bidi="lv-LV"/>
            </w:rPr>
            <w:fldChar w:fldCharType="begin"/>
          </w:r>
          <w:r>
            <w:rPr>
              <w:rFonts w:eastAsia="Times New Roman" w:cs="Times New Roman"/>
              <w:b/>
              <w:noProof/>
              <w:sz w:val="22"/>
              <w:szCs w:val="22"/>
              <w:lang w:bidi="lv-LV"/>
            </w:rPr>
            <w:instrText xml:space="preserve"> TOC \o "1-3" \h \z \u </w:instrText>
          </w:r>
          <w:r>
            <w:rPr>
              <w:rFonts w:eastAsia="Times New Roman" w:cs="Times New Roman"/>
              <w:b/>
              <w:noProof/>
              <w:sz w:val="22"/>
              <w:szCs w:val="22"/>
              <w:lang w:bidi="lv-LV"/>
            </w:rPr>
            <w:fldChar w:fldCharType="separate"/>
          </w:r>
          <w:hyperlink w:anchor="_Toc346478" w:history="1">
            <w:r w:rsidRPr="000C3163">
              <w:rPr>
                <w:rStyle w:val="Hipersaite"/>
                <w:noProof/>
                <w:lang w:bidi="lv-LV"/>
              </w:rPr>
              <w:t>tā, kā:</w:t>
            </w:r>
            <w:r>
              <w:rPr>
                <w:noProof/>
                <w:webHidden/>
              </w:rPr>
              <w:tab/>
            </w:r>
            <w:r>
              <w:rPr>
                <w:noProof/>
                <w:webHidden/>
              </w:rPr>
              <w:fldChar w:fldCharType="begin"/>
            </w:r>
            <w:r>
              <w:rPr>
                <w:noProof/>
                <w:webHidden/>
              </w:rPr>
              <w:instrText xml:space="preserve"> PAGEREF _Toc346478 \h </w:instrText>
            </w:r>
            <w:r>
              <w:rPr>
                <w:noProof/>
                <w:webHidden/>
              </w:rPr>
            </w:r>
            <w:r>
              <w:rPr>
                <w:noProof/>
                <w:webHidden/>
              </w:rPr>
              <w:fldChar w:fldCharType="separate"/>
            </w:r>
            <w:r>
              <w:rPr>
                <w:noProof/>
                <w:webHidden/>
              </w:rPr>
              <w:t>3</w:t>
            </w:r>
            <w:r>
              <w:rPr>
                <w:noProof/>
                <w:webHidden/>
              </w:rPr>
              <w:fldChar w:fldCharType="end"/>
            </w:r>
          </w:hyperlink>
        </w:p>
        <w:p w14:paraId="2040E398" w14:textId="1E2CD59C" w:rsidR="00996F67" w:rsidRDefault="0023720B">
          <w:pPr>
            <w:pStyle w:val="Saturs1"/>
            <w:tabs>
              <w:tab w:val="right" w:leader="dot" w:pos="8290"/>
            </w:tabs>
            <w:rPr>
              <w:rFonts w:asciiTheme="minorHAnsi" w:eastAsiaTheme="minorEastAsia" w:hAnsiTheme="minorHAnsi" w:cstheme="minorBidi"/>
              <w:noProof/>
              <w:color w:val="auto"/>
              <w:sz w:val="22"/>
              <w:szCs w:val="22"/>
              <w:lang w:val="en-US" w:bidi="ar-SA"/>
            </w:rPr>
          </w:pPr>
          <w:hyperlink w:anchor="_Toc346479" w:history="1">
            <w:r w:rsidR="00996F67" w:rsidRPr="000C3163">
              <w:rPr>
                <w:rStyle w:val="Hipersaite"/>
                <w:noProof/>
                <w:lang w:bidi="lv-LV"/>
              </w:rPr>
              <w:t>1. pants. Priekšmets un piemērošanas joma</w:t>
            </w:r>
            <w:r w:rsidR="00996F67">
              <w:rPr>
                <w:noProof/>
                <w:webHidden/>
              </w:rPr>
              <w:tab/>
            </w:r>
            <w:r w:rsidR="00996F67">
              <w:rPr>
                <w:noProof/>
                <w:webHidden/>
              </w:rPr>
              <w:fldChar w:fldCharType="begin"/>
            </w:r>
            <w:r w:rsidR="00996F67">
              <w:rPr>
                <w:noProof/>
                <w:webHidden/>
              </w:rPr>
              <w:instrText xml:space="preserve"> PAGEREF _Toc346479 \h </w:instrText>
            </w:r>
            <w:r w:rsidR="00996F67">
              <w:rPr>
                <w:noProof/>
                <w:webHidden/>
              </w:rPr>
            </w:r>
            <w:r w:rsidR="00996F67">
              <w:rPr>
                <w:noProof/>
                <w:webHidden/>
              </w:rPr>
              <w:fldChar w:fldCharType="separate"/>
            </w:r>
            <w:r w:rsidR="00996F67">
              <w:rPr>
                <w:noProof/>
                <w:webHidden/>
              </w:rPr>
              <w:t>5</w:t>
            </w:r>
            <w:r w:rsidR="00996F67">
              <w:rPr>
                <w:noProof/>
                <w:webHidden/>
              </w:rPr>
              <w:fldChar w:fldCharType="end"/>
            </w:r>
          </w:hyperlink>
        </w:p>
        <w:p w14:paraId="7467F6A3" w14:textId="6B8DBF55" w:rsidR="00996F67" w:rsidRDefault="0023720B">
          <w:pPr>
            <w:pStyle w:val="Saturs1"/>
            <w:tabs>
              <w:tab w:val="right" w:leader="dot" w:pos="8290"/>
            </w:tabs>
            <w:rPr>
              <w:rFonts w:asciiTheme="minorHAnsi" w:eastAsiaTheme="minorEastAsia" w:hAnsiTheme="minorHAnsi" w:cstheme="minorBidi"/>
              <w:noProof/>
              <w:color w:val="auto"/>
              <w:sz w:val="22"/>
              <w:szCs w:val="22"/>
              <w:lang w:val="en-US" w:bidi="ar-SA"/>
            </w:rPr>
          </w:pPr>
          <w:hyperlink w:anchor="_Toc346480" w:history="1">
            <w:r w:rsidR="00996F67" w:rsidRPr="000C3163">
              <w:rPr>
                <w:rStyle w:val="Hipersaite"/>
                <w:noProof/>
                <w:lang w:bidi="lv-LV"/>
              </w:rPr>
              <w:t>2. pants. Definīcijas un interpretācija</w:t>
            </w:r>
            <w:r w:rsidR="00996F67">
              <w:rPr>
                <w:noProof/>
                <w:webHidden/>
              </w:rPr>
              <w:tab/>
            </w:r>
            <w:r w:rsidR="00996F67">
              <w:rPr>
                <w:noProof/>
                <w:webHidden/>
              </w:rPr>
              <w:fldChar w:fldCharType="begin"/>
            </w:r>
            <w:r w:rsidR="00996F67">
              <w:rPr>
                <w:noProof/>
                <w:webHidden/>
              </w:rPr>
              <w:instrText xml:space="preserve"> PAGEREF _Toc346480 \h </w:instrText>
            </w:r>
            <w:r w:rsidR="00996F67">
              <w:rPr>
                <w:noProof/>
                <w:webHidden/>
              </w:rPr>
            </w:r>
            <w:r w:rsidR="00996F67">
              <w:rPr>
                <w:noProof/>
                <w:webHidden/>
              </w:rPr>
              <w:fldChar w:fldCharType="separate"/>
            </w:r>
            <w:r w:rsidR="00996F67">
              <w:rPr>
                <w:noProof/>
                <w:webHidden/>
              </w:rPr>
              <w:t>5</w:t>
            </w:r>
            <w:r w:rsidR="00996F67">
              <w:rPr>
                <w:noProof/>
                <w:webHidden/>
              </w:rPr>
              <w:fldChar w:fldCharType="end"/>
            </w:r>
          </w:hyperlink>
        </w:p>
        <w:p w14:paraId="536DC2CD" w14:textId="7311EEFE" w:rsidR="00996F67" w:rsidRDefault="0023720B">
          <w:pPr>
            <w:pStyle w:val="Saturs1"/>
            <w:tabs>
              <w:tab w:val="right" w:leader="dot" w:pos="8290"/>
            </w:tabs>
            <w:rPr>
              <w:rFonts w:asciiTheme="minorHAnsi" w:eastAsiaTheme="minorEastAsia" w:hAnsiTheme="minorHAnsi" w:cstheme="minorBidi"/>
              <w:noProof/>
              <w:color w:val="auto"/>
              <w:sz w:val="22"/>
              <w:szCs w:val="22"/>
              <w:lang w:val="en-US" w:bidi="ar-SA"/>
            </w:rPr>
          </w:pPr>
          <w:hyperlink w:anchor="_Toc346481" w:history="1">
            <w:r w:rsidR="00996F67" w:rsidRPr="000C3163">
              <w:rPr>
                <w:rStyle w:val="Hipersaite"/>
                <w:noProof/>
                <w:lang w:bidi="lv-LV"/>
              </w:rPr>
              <w:t>3. pants. No attiecīgajiem NETO nepieciešamās informācijas saraksts</w:t>
            </w:r>
            <w:r w:rsidR="00996F67">
              <w:rPr>
                <w:noProof/>
                <w:webHidden/>
              </w:rPr>
              <w:tab/>
            </w:r>
            <w:r w:rsidR="00996F67">
              <w:rPr>
                <w:noProof/>
                <w:webHidden/>
              </w:rPr>
              <w:fldChar w:fldCharType="begin"/>
            </w:r>
            <w:r w:rsidR="00996F67">
              <w:rPr>
                <w:noProof/>
                <w:webHidden/>
              </w:rPr>
              <w:instrText xml:space="preserve"> PAGEREF _Toc346481 \h </w:instrText>
            </w:r>
            <w:r w:rsidR="00996F67">
              <w:rPr>
                <w:noProof/>
                <w:webHidden/>
              </w:rPr>
            </w:r>
            <w:r w:rsidR="00996F67">
              <w:rPr>
                <w:noProof/>
                <w:webHidden/>
              </w:rPr>
              <w:fldChar w:fldCharType="separate"/>
            </w:r>
            <w:r w:rsidR="00996F67">
              <w:rPr>
                <w:noProof/>
                <w:webHidden/>
              </w:rPr>
              <w:t>6</w:t>
            </w:r>
            <w:r w:rsidR="00996F67">
              <w:rPr>
                <w:noProof/>
                <w:webHidden/>
              </w:rPr>
              <w:fldChar w:fldCharType="end"/>
            </w:r>
          </w:hyperlink>
        </w:p>
        <w:p w14:paraId="34D7086B" w14:textId="5DDD86F9" w:rsidR="00996F67" w:rsidRDefault="0023720B">
          <w:pPr>
            <w:pStyle w:val="Saturs1"/>
            <w:tabs>
              <w:tab w:val="right" w:leader="dot" w:pos="8290"/>
            </w:tabs>
            <w:rPr>
              <w:rFonts w:asciiTheme="minorHAnsi" w:eastAsiaTheme="minorEastAsia" w:hAnsiTheme="minorHAnsi" w:cstheme="minorBidi"/>
              <w:noProof/>
              <w:color w:val="auto"/>
              <w:sz w:val="22"/>
              <w:szCs w:val="22"/>
              <w:lang w:val="en-US" w:bidi="ar-SA"/>
            </w:rPr>
          </w:pPr>
          <w:hyperlink w:anchor="_Toc346482" w:history="1">
            <w:r w:rsidR="00996F67" w:rsidRPr="000C3163">
              <w:rPr>
                <w:rStyle w:val="Hipersaite"/>
                <w:noProof/>
                <w:lang w:bidi="lv-LV"/>
              </w:rPr>
              <w:t>4. pants. Plānotās apmaiņas aprēķināšana starp tirdzniecības zonām, grafiku sagatavošanas zonām un NETO tirdzniecības platformām</w:t>
            </w:r>
            <w:r w:rsidR="00996F67">
              <w:rPr>
                <w:noProof/>
                <w:webHidden/>
              </w:rPr>
              <w:tab/>
            </w:r>
            <w:r w:rsidR="00996F67">
              <w:rPr>
                <w:noProof/>
                <w:webHidden/>
              </w:rPr>
              <w:fldChar w:fldCharType="begin"/>
            </w:r>
            <w:r w:rsidR="00996F67">
              <w:rPr>
                <w:noProof/>
                <w:webHidden/>
              </w:rPr>
              <w:instrText xml:space="preserve"> PAGEREF _Toc346482 \h </w:instrText>
            </w:r>
            <w:r w:rsidR="00996F67">
              <w:rPr>
                <w:noProof/>
                <w:webHidden/>
              </w:rPr>
            </w:r>
            <w:r w:rsidR="00996F67">
              <w:rPr>
                <w:noProof/>
                <w:webHidden/>
              </w:rPr>
              <w:fldChar w:fldCharType="separate"/>
            </w:r>
            <w:r w:rsidR="00996F67">
              <w:rPr>
                <w:noProof/>
                <w:webHidden/>
              </w:rPr>
              <w:t>6</w:t>
            </w:r>
            <w:r w:rsidR="00996F67">
              <w:rPr>
                <w:noProof/>
                <w:webHidden/>
              </w:rPr>
              <w:fldChar w:fldCharType="end"/>
            </w:r>
          </w:hyperlink>
        </w:p>
        <w:p w14:paraId="386AB176" w14:textId="75C39DE1" w:rsidR="00996F67" w:rsidRDefault="0023720B">
          <w:pPr>
            <w:pStyle w:val="Saturs1"/>
            <w:tabs>
              <w:tab w:val="right" w:leader="dot" w:pos="8290"/>
            </w:tabs>
            <w:rPr>
              <w:rFonts w:asciiTheme="minorHAnsi" w:eastAsiaTheme="minorEastAsia" w:hAnsiTheme="minorHAnsi" w:cstheme="minorBidi"/>
              <w:noProof/>
              <w:color w:val="auto"/>
              <w:sz w:val="22"/>
              <w:szCs w:val="22"/>
              <w:lang w:val="en-US" w:bidi="ar-SA"/>
            </w:rPr>
          </w:pPr>
          <w:hyperlink w:anchor="_Toc346483" w:history="1">
            <w:r w:rsidR="00996F67" w:rsidRPr="000C3163">
              <w:rPr>
                <w:rStyle w:val="Hipersaite"/>
                <w:noProof/>
                <w:lang w:bidi="lv-LV"/>
              </w:rPr>
              <w:t xml:space="preserve">5. pants. </w:t>
            </w:r>
            <w:r w:rsidR="00996F67" w:rsidRPr="000C3163">
              <w:rPr>
                <w:rStyle w:val="Hipersaite"/>
                <w:i/>
                <w:noProof/>
                <w:lang w:bidi="lv-LV"/>
              </w:rPr>
              <w:t>ID SEC</w:t>
            </w:r>
            <w:r w:rsidR="00996F67" w:rsidRPr="000C3163">
              <w:rPr>
                <w:rStyle w:val="Hipersaite"/>
                <w:noProof/>
                <w:lang w:bidi="lv-LV"/>
              </w:rPr>
              <w:t xml:space="preserve"> metodikas īstenošana</w:t>
            </w:r>
            <w:r w:rsidR="00996F67">
              <w:rPr>
                <w:noProof/>
                <w:webHidden/>
              </w:rPr>
              <w:tab/>
            </w:r>
            <w:r w:rsidR="00996F67">
              <w:rPr>
                <w:noProof/>
                <w:webHidden/>
              </w:rPr>
              <w:fldChar w:fldCharType="begin"/>
            </w:r>
            <w:r w:rsidR="00996F67">
              <w:rPr>
                <w:noProof/>
                <w:webHidden/>
              </w:rPr>
              <w:instrText xml:space="preserve"> PAGEREF _Toc346483 \h </w:instrText>
            </w:r>
            <w:r w:rsidR="00996F67">
              <w:rPr>
                <w:noProof/>
                <w:webHidden/>
              </w:rPr>
            </w:r>
            <w:r w:rsidR="00996F67">
              <w:rPr>
                <w:noProof/>
                <w:webHidden/>
              </w:rPr>
              <w:fldChar w:fldCharType="separate"/>
            </w:r>
            <w:r w:rsidR="00996F67">
              <w:rPr>
                <w:noProof/>
                <w:webHidden/>
              </w:rPr>
              <w:t>7</w:t>
            </w:r>
            <w:r w:rsidR="00996F67">
              <w:rPr>
                <w:noProof/>
                <w:webHidden/>
              </w:rPr>
              <w:fldChar w:fldCharType="end"/>
            </w:r>
          </w:hyperlink>
        </w:p>
        <w:p w14:paraId="7026C55F" w14:textId="2B91006A" w:rsidR="00996F67" w:rsidRDefault="0023720B">
          <w:pPr>
            <w:pStyle w:val="Saturs1"/>
            <w:tabs>
              <w:tab w:val="right" w:leader="dot" w:pos="8290"/>
            </w:tabs>
            <w:rPr>
              <w:rFonts w:asciiTheme="minorHAnsi" w:eastAsiaTheme="minorEastAsia" w:hAnsiTheme="minorHAnsi" w:cstheme="minorBidi"/>
              <w:noProof/>
              <w:color w:val="auto"/>
              <w:sz w:val="22"/>
              <w:szCs w:val="22"/>
              <w:lang w:val="en-US" w:bidi="ar-SA"/>
            </w:rPr>
          </w:pPr>
          <w:hyperlink w:anchor="_Toc346484" w:history="1">
            <w:r w:rsidR="00996F67" w:rsidRPr="000C3163">
              <w:rPr>
                <w:rStyle w:val="Hipersaite"/>
                <w:noProof/>
                <w:lang w:bidi="lv-LV"/>
              </w:rPr>
              <w:t>6. pants. Valoda</w:t>
            </w:r>
            <w:r w:rsidR="00996F67">
              <w:rPr>
                <w:noProof/>
                <w:webHidden/>
              </w:rPr>
              <w:tab/>
            </w:r>
            <w:r w:rsidR="00996F67">
              <w:rPr>
                <w:noProof/>
                <w:webHidden/>
              </w:rPr>
              <w:fldChar w:fldCharType="begin"/>
            </w:r>
            <w:r w:rsidR="00996F67">
              <w:rPr>
                <w:noProof/>
                <w:webHidden/>
              </w:rPr>
              <w:instrText xml:space="preserve"> PAGEREF _Toc346484 \h </w:instrText>
            </w:r>
            <w:r w:rsidR="00996F67">
              <w:rPr>
                <w:noProof/>
                <w:webHidden/>
              </w:rPr>
            </w:r>
            <w:r w:rsidR="00996F67">
              <w:rPr>
                <w:noProof/>
                <w:webHidden/>
              </w:rPr>
              <w:fldChar w:fldCharType="separate"/>
            </w:r>
            <w:r w:rsidR="00996F67">
              <w:rPr>
                <w:noProof/>
                <w:webHidden/>
              </w:rPr>
              <w:t>7</w:t>
            </w:r>
            <w:r w:rsidR="00996F67">
              <w:rPr>
                <w:noProof/>
                <w:webHidden/>
              </w:rPr>
              <w:fldChar w:fldCharType="end"/>
            </w:r>
          </w:hyperlink>
        </w:p>
        <w:p w14:paraId="487345AA" w14:textId="4244623D" w:rsidR="003C08D4" w:rsidRDefault="00996F67" w:rsidP="003C08D4">
          <w:r>
            <w:rPr>
              <w:rFonts w:ascii="Times New Roman" w:eastAsia="Times New Roman" w:hAnsi="Times New Roman" w:cs="Times New Roman"/>
              <w:b/>
              <w:noProof/>
              <w:sz w:val="22"/>
              <w:szCs w:val="22"/>
              <w:lang w:bidi="lv-LV"/>
            </w:rPr>
            <w:fldChar w:fldCharType="end"/>
          </w:r>
        </w:p>
      </w:sdtContent>
    </w:sdt>
    <w:p w14:paraId="0944790E" w14:textId="77777777" w:rsidR="003C08D4" w:rsidRDefault="003C08D4" w:rsidP="003C08D4">
      <w:pPr>
        <w:widowControl/>
        <w:spacing w:after="160" w:line="259" w:lineRule="auto"/>
        <w:rPr>
          <w:rFonts w:ascii="Times New Roman" w:hAnsi="Times New Roman" w:cs="Times New Roman"/>
          <w:sz w:val="22"/>
          <w:szCs w:val="22"/>
        </w:rPr>
      </w:pPr>
      <w:r>
        <w:rPr>
          <w:rFonts w:ascii="Times New Roman" w:eastAsia="Times New Roman" w:hAnsi="Times New Roman" w:cs="Times New Roman"/>
          <w:sz w:val="22"/>
          <w:szCs w:val="22"/>
          <w:lang w:bidi="lv-LV"/>
        </w:rPr>
        <w:br w:type="page"/>
      </w:r>
    </w:p>
    <w:p w14:paraId="22E4CFF3" w14:textId="77777777" w:rsidR="003C08D4" w:rsidRPr="000B36D5" w:rsidRDefault="003C08D4" w:rsidP="003C08D4">
      <w:pPr>
        <w:rPr>
          <w:rFonts w:ascii="Times New Roman" w:hAnsi="Times New Roman" w:cs="Times New Roman"/>
          <w:sz w:val="22"/>
          <w:szCs w:val="22"/>
        </w:rPr>
      </w:pPr>
    </w:p>
    <w:p w14:paraId="3F0A6A27" w14:textId="77777777" w:rsidR="003C08D4" w:rsidRPr="000B36D5" w:rsidRDefault="003C08D4" w:rsidP="003C08D4">
      <w:pPr>
        <w:rPr>
          <w:rFonts w:ascii="Times New Roman" w:hAnsi="Times New Roman" w:cs="Times New Roman"/>
          <w:sz w:val="22"/>
          <w:szCs w:val="22"/>
        </w:rPr>
      </w:pPr>
      <w:bookmarkStart w:id="0" w:name="bookmark0"/>
      <w:r w:rsidRPr="000B36D5">
        <w:rPr>
          <w:rFonts w:ascii="Times New Roman" w:eastAsia="Times New Roman" w:hAnsi="Times New Roman" w:cs="Times New Roman"/>
          <w:sz w:val="22"/>
          <w:szCs w:val="22"/>
          <w:lang w:bidi="lv-LV"/>
        </w:rPr>
        <w:t>Visi Pārvades sistēmu operatori, ņemot vērā turpmāk minēto:</w:t>
      </w:r>
      <w:bookmarkEnd w:id="0"/>
    </w:p>
    <w:p w14:paraId="0D9741F2" w14:textId="1C0D6CD8" w:rsidR="003C08D4" w:rsidRPr="000B36D5" w:rsidRDefault="003C08D4" w:rsidP="003C08D4">
      <w:pPr>
        <w:pStyle w:val="Heading10"/>
        <w:keepNext/>
        <w:keepLines/>
        <w:shd w:val="clear" w:color="auto" w:fill="auto"/>
        <w:spacing w:before="240" w:after="280" w:line="240" w:lineRule="auto"/>
      </w:pPr>
      <w:bookmarkStart w:id="1" w:name="bookmark1"/>
      <w:bookmarkStart w:id="2" w:name="bookmark2"/>
      <w:bookmarkStart w:id="3" w:name="_Toc346478"/>
      <w:r w:rsidRPr="000B36D5">
        <w:rPr>
          <w:lang w:bidi="lv-LV"/>
        </w:rPr>
        <w:t>tā, kā:</w:t>
      </w:r>
      <w:bookmarkEnd w:id="1"/>
      <w:bookmarkEnd w:id="2"/>
      <w:bookmarkEnd w:id="3"/>
    </w:p>
    <w:p w14:paraId="7EC9AA57" w14:textId="5D541971"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sz w:val="22"/>
          <w:szCs w:val="22"/>
          <w:lang w:bidi="lv-LV"/>
        </w:rPr>
        <w:t xml:space="preserve">Šis dokuments satur kopīgu priekšlikumu, ko ir izstrādājuši visi Pārvades sistēmu operatori (turpmāk tekstā – </w:t>
      </w:r>
      <w:r w:rsidRPr="000B36D5">
        <w:rPr>
          <w:rFonts w:ascii="Times New Roman" w:eastAsia="Times New Roman" w:hAnsi="Times New Roman" w:cs="Times New Roman"/>
          <w:b/>
          <w:sz w:val="22"/>
          <w:szCs w:val="22"/>
          <w:lang w:bidi="lv-LV"/>
        </w:rPr>
        <w:t>"PSO"</w:t>
      </w:r>
      <w:r w:rsidRPr="000B36D5">
        <w:rPr>
          <w:rFonts w:ascii="Times New Roman" w:eastAsia="Times New Roman" w:hAnsi="Times New Roman" w:cs="Times New Roman"/>
          <w:sz w:val="22"/>
          <w:szCs w:val="22"/>
          <w:lang w:bidi="lv-LV"/>
        </w:rPr>
        <w:t xml:space="preserve">), kuri plāno aprēķināt plānoto apmaiņu, kas izriet no vienotas </w:t>
      </w:r>
      <w:r w:rsidR="003038BA">
        <w:rPr>
          <w:rFonts w:ascii="Times New Roman" w:eastAsia="Times New Roman" w:hAnsi="Times New Roman" w:cs="Times New Roman"/>
          <w:sz w:val="22"/>
          <w:szCs w:val="22"/>
          <w:lang w:bidi="lv-LV"/>
        </w:rPr>
        <w:t>tekošās</w:t>
      </w:r>
      <w:r w:rsidR="003038BA" w:rsidRPr="000B36D5">
        <w:rPr>
          <w:rFonts w:ascii="Times New Roman" w:eastAsia="Times New Roman" w:hAnsi="Times New Roman" w:cs="Times New Roman"/>
          <w:sz w:val="22"/>
          <w:szCs w:val="22"/>
          <w:lang w:bidi="lv-LV"/>
        </w:rPr>
        <w:t xml:space="preserve"> </w:t>
      </w:r>
      <w:r w:rsidRPr="000B36D5">
        <w:rPr>
          <w:rFonts w:ascii="Times New Roman" w:eastAsia="Times New Roman" w:hAnsi="Times New Roman" w:cs="Times New Roman"/>
          <w:sz w:val="22"/>
          <w:szCs w:val="22"/>
          <w:lang w:bidi="lv-LV"/>
        </w:rPr>
        <w:t xml:space="preserve">dienas tirgus sasaistīšanas (turpmāk tekstā – </w:t>
      </w:r>
      <w:r w:rsidRPr="000B36D5">
        <w:rPr>
          <w:rFonts w:ascii="Times New Roman" w:eastAsia="Times New Roman" w:hAnsi="Times New Roman" w:cs="Times New Roman"/>
          <w:b/>
          <w:sz w:val="22"/>
          <w:szCs w:val="22"/>
          <w:lang w:bidi="lv-LV"/>
        </w:rPr>
        <w:t>"SIDC"</w:t>
      </w:r>
      <w:r w:rsidRPr="000B36D5">
        <w:rPr>
          <w:rFonts w:ascii="Times New Roman" w:eastAsia="Times New Roman" w:hAnsi="Times New Roman" w:cs="Times New Roman"/>
          <w:sz w:val="22"/>
          <w:szCs w:val="22"/>
          <w:lang w:bidi="lv-LV"/>
        </w:rPr>
        <w:t xml:space="preserve"> (no angļu val. –</w:t>
      </w:r>
      <w:r w:rsidRPr="000B36D5">
        <w:rPr>
          <w:rFonts w:ascii="Times New Roman" w:eastAsia="Times New Roman" w:hAnsi="Times New Roman" w:cs="Times New Roman"/>
          <w:i/>
          <w:sz w:val="22"/>
          <w:szCs w:val="22"/>
          <w:lang w:bidi="lv-LV"/>
        </w:rPr>
        <w:t xml:space="preserve"> </w:t>
      </w:r>
      <w:proofErr w:type="spellStart"/>
      <w:r w:rsidRPr="000B36D5">
        <w:rPr>
          <w:rFonts w:ascii="Times New Roman" w:eastAsia="Times New Roman" w:hAnsi="Times New Roman" w:cs="Times New Roman"/>
          <w:i/>
          <w:sz w:val="22"/>
          <w:szCs w:val="22"/>
          <w:lang w:bidi="lv-LV"/>
        </w:rPr>
        <w:t>single</w:t>
      </w:r>
      <w:proofErr w:type="spellEnd"/>
      <w:r w:rsidRPr="000B36D5">
        <w:rPr>
          <w:rFonts w:ascii="Times New Roman" w:eastAsia="Times New Roman" w:hAnsi="Times New Roman" w:cs="Times New Roman"/>
          <w:i/>
          <w:sz w:val="22"/>
          <w:szCs w:val="22"/>
          <w:lang w:bidi="lv-LV"/>
        </w:rPr>
        <w:t xml:space="preserve"> </w:t>
      </w:r>
      <w:proofErr w:type="spellStart"/>
      <w:r w:rsidRPr="000B36D5">
        <w:rPr>
          <w:rFonts w:ascii="Times New Roman" w:eastAsia="Times New Roman" w:hAnsi="Times New Roman" w:cs="Times New Roman"/>
          <w:i/>
          <w:sz w:val="22"/>
          <w:szCs w:val="22"/>
          <w:lang w:bidi="lv-LV"/>
        </w:rPr>
        <w:t>intraday</w:t>
      </w:r>
      <w:proofErr w:type="spellEnd"/>
      <w:r w:rsidRPr="000B36D5">
        <w:rPr>
          <w:rFonts w:ascii="Times New Roman" w:eastAsia="Times New Roman" w:hAnsi="Times New Roman" w:cs="Times New Roman"/>
          <w:i/>
          <w:sz w:val="22"/>
          <w:szCs w:val="22"/>
          <w:lang w:bidi="lv-LV"/>
        </w:rPr>
        <w:t xml:space="preserve"> </w:t>
      </w:r>
      <w:proofErr w:type="spellStart"/>
      <w:r w:rsidRPr="000B36D5">
        <w:rPr>
          <w:rFonts w:ascii="Times New Roman" w:eastAsia="Times New Roman" w:hAnsi="Times New Roman" w:cs="Times New Roman"/>
          <w:i/>
          <w:sz w:val="22"/>
          <w:szCs w:val="22"/>
          <w:lang w:bidi="lv-LV"/>
        </w:rPr>
        <w:t>coupling</w:t>
      </w:r>
      <w:proofErr w:type="spellEnd"/>
      <w:r w:rsidRPr="000B36D5">
        <w:rPr>
          <w:rFonts w:ascii="Times New Roman" w:eastAsia="Times New Roman" w:hAnsi="Times New Roman" w:cs="Times New Roman"/>
          <w:sz w:val="22"/>
          <w:szCs w:val="22"/>
          <w:lang w:bidi="lv-LV"/>
        </w:rPr>
        <w:t xml:space="preserve">)). Dokuments paredz metodiku, ar kuru aprēķina plānoto apmaiņu, kas izriet no </w:t>
      </w:r>
      <w:r w:rsidRPr="000B36D5">
        <w:rPr>
          <w:rFonts w:ascii="Times New Roman" w:eastAsia="Times New Roman" w:hAnsi="Times New Roman" w:cs="Times New Roman"/>
          <w:i/>
          <w:sz w:val="22"/>
          <w:szCs w:val="22"/>
          <w:lang w:bidi="lv-LV"/>
        </w:rPr>
        <w:t>SIDC</w:t>
      </w:r>
      <w:r w:rsidRPr="000B36D5">
        <w:rPr>
          <w:rFonts w:ascii="Times New Roman" w:eastAsia="Times New Roman" w:hAnsi="Times New Roman" w:cs="Times New Roman"/>
          <w:sz w:val="22"/>
          <w:szCs w:val="22"/>
          <w:lang w:bidi="lv-LV"/>
        </w:rPr>
        <w:t xml:space="preserve"> (turpmāk tekstā – "</w:t>
      </w:r>
      <w:r w:rsidRPr="000B36D5">
        <w:rPr>
          <w:rFonts w:ascii="Times New Roman" w:eastAsia="Times New Roman" w:hAnsi="Times New Roman" w:cs="Times New Roman"/>
          <w:b/>
          <w:sz w:val="22"/>
          <w:szCs w:val="22"/>
          <w:lang w:bidi="lv-LV"/>
        </w:rPr>
        <w:t>ID SEC metodika</w:t>
      </w:r>
      <w:r w:rsidRPr="000B36D5">
        <w:rPr>
          <w:rFonts w:ascii="Times New Roman" w:eastAsia="Times New Roman" w:hAnsi="Times New Roman" w:cs="Times New Roman"/>
          <w:sz w:val="22"/>
          <w:szCs w:val="22"/>
          <w:lang w:bidi="lv-LV"/>
        </w:rPr>
        <w:t xml:space="preserve">"(no angļu val. – </w:t>
      </w:r>
      <w:proofErr w:type="spellStart"/>
      <w:r w:rsidRPr="000B36D5">
        <w:rPr>
          <w:rFonts w:ascii="Times New Roman" w:eastAsia="Times New Roman" w:hAnsi="Times New Roman" w:cs="Times New Roman"/>
          <w:i/>
          <w:sz w:val="22"/>
          <w:szCs w:val="22"/>
          <w:lang w:bidi="lv-LV"/>
        </w:rPr>
        <w:t>intraday</w:t>
      </w:r>
      <w:proofErr w:type="spellEnd"/>
      <w:r w:rsidRPr="000B36D5">
        <w:rPr>
          <w:rFonts w:ascii="Times New Roman" w:eastAsia="Times New Roman" w:hAnsi="Times New Roman" w:cs="Times New Roman"/>
          <w:i/>
          <w:sz w:val="22"/>
          <w:szCs w:val="22"/>
          <w:lang w:bidi="lv-LV"/>
        </w:rPr>
        <w:t xml:space="preserve"> </w:t>
      </w:r>
      <w:proofErr w:type="spellStart"/>
      <w:r w:rsidRPr="000B36D5">
        <w:rPr>
          <w:rFonts w:ascii="Times New Roman" w:eastAsia="Times New Roman" w:hAnsi="Times New Roman" w:cs="Times New Roman"/>
          <w:i/>
          <w:sz w:val="22"/>
          <w:szCs w:val="22"/>
          <w:lang w:bidi="lv-LV"/>
        </w:rPr>
        <w:t>scheduled</w:t>
      </w:r>
      <w:proofErr w:type="spellEnd"/>
      <w:r w:rsidRPr="000B36D5">
        <w:rPr>
          <w:rFonts w:ascii="Times New Roman" w:eastAsia="Times New Roman" w:hAnsi="Times New Roman" w:cs="Times New Roman"/>
          <w:i/>
          <w:sz w:val="22"/>
          <w:szCs w:val="22"/>
          <w:lang w:bidi="lv-LV"/>
        </w:rPr>
        <w:t xml:space="preserve"> </w:t>
      </w:r>
      <w:proofErr w:type="spellStart"/>
      <w:r w:rsidRPr="000B36D5">
        <w:rPr>
          <w:rFonts w:ascii="Times New Roman" w:eastAsia="Times New Roman" w:hAnsi="Times New Roman" w:cs="Times New Roman"/>
          <w:i/>
          <w:sz w:val="22"/>
          <w:szCs w:val="22"/>
          <w:lang w:bidi="lv-LV"/>
        </w:rPr>
        <w:t>exchanges</w:t>
      </w:r>
      <w:proofErr w:type="spellEnd"/>
      <w:r w:rsidRPr="000B36D5">
        <w:rPr>
          <w:rFonts w:ascii="Times New Roman" w:eastAsia="Times New Roman" w:hAnsi="Times New Roman" w:cs="Times New Roman"/>
          <w:i/>
          <w:sz w:val="22"/>
          <w:szCs w:val="22"/>
          <w:lang w:bidi="lv-LV"/>
        </w:rPr>
        <w:t xml:space="preserve"> </w:t>
      </w:r>
      <w:proofErr w:type="spellStart"/>
      <w:r w:rsidRPr="000B36D5">
        <w:rPr>
          <w:rFonts w:ascii="Times New Roman" w:eastAsia="Times New Roman" w:hAnsi="Times New Roman" w:cs="Times New Roman"/>
          <w:i/>
          <w:sz w:val="22"/>
          <w:szCs w:val="22"/>
          <w:lang w:bidi="lv-LV"/>
        </w:rPr>
        <w:t>calculation</w:t>
      </w:r>
      <w:proofErr w:type="spellEnd"/>
      <w:r w:rsidRPr="000B36D5">
        <w:rPr>
          <w:rFonts w:ascii="Times New Roman" w:eastAsia="Times New Roman" w:hAnsi="Times New Roman" w:cs="Times New Roman"/>
          <w:sz w:val="22"/>
          <w:szCs w:val="22"/>
          <w:lang w:bidi="lv-LV"/>
        </w:rPr>
        <w:t xml:space="preserve">)) saskaņā ar Komisijas Regulas (ES) Nr. 2015/1222, ar ko izveido jaudas piešķiršanas un pārslodzes vadības vadlīnijas (turpmāk tekstā – </w:t>
      </w:r>
      <w:r w:rsidRPr="000B36D5">
        <w:rPr>
          <w:rFonts w:ascii="Times New Roman" w:eastAsia="Times New Roman" w:hAnsi="Times New Roman" w:cs="Times New Roman"/>
          <w:b/>
          <w:sz w:val="22"/>
          <w:szCs w:val="22"/>
          <w:lang w:bidi="lv-LV"/>
        </w:rPr>
        <w:t>"CACM regula"</w:t>
      </w:r>
      <w:r w:rsidRPr="000B36D5">
        <w:rPr>
          <w:rFonts w:ascii="Times New Roman" w:eastAsia="Times New Roman" w:hAnsi="Times New Roman" w:cs="Times New Roman"/>
          <w:sz w:val="22"/>
          <w:szCs w:val="22"/>
          <w:lang w:bidi="lv-LV"/>
        </w:rPr>
        <w:t xml:space="preserve">), 56. pantu. Šis priekšlikums turpmāk tekstā – </w:t>
      </w:r>
      <w:r w:rsidRPr="000B36D5">
        <w:rPr>
          <w:rFonts w:ascii="Times New Roman" w:eastAsia="Times New Roman" w:hAnsi="Times New Roman" w:cs="Times New Roman"/>
          <w:b/>
          <w:sz w:val="22"/>
          <w:szCs w:val="22"/>
          <w:lang w:bidi="lv-LV"/>
        </w:rPr>
        <w:t>"ID SEC priekšlikums"</w:t>
      </w:r>
      <w:r w:rsidRPr="000B36D5">
        <w:rPr>
          <w:rFonts w:ascii="Times New Roman" w:eastAsia="Times New Roman" w:hAnsi="Times New Roman" w:cs="Times New Roman"/>
          <w:sz w:val="22"/>
          <w:szCs w:val="22"/>
          <w:lang w:bidi="lv-LV"/>
        </w:rPr>
        <w:t>.</w:t>
      </w:r>
    </w:p>
    <w:p w14:paraId="1998CC1C" w14:textId="77777777" w:rsidR="003C08D4" w:rsidRDefault="003C08D4" w:rsidP="003C08D4">
      <w:pPr>
        <w:jc w:val="both"/>
        <w:rPr>
          <w:rFonts w:ascii="Times New Roman" w:hAnsi="Times New Roman" w:cs="Times New Roman"/>
          <w:sz w:val="22"/>
          <w:szCs w:val="22"/>
        </w:rPr>
      </w:pPr>
    </w:p>
    <w:p w14:paraId="15DB156E" w14:textId="7E60DE30"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priekšlikumā tiek ņemti vērā vispārīgie principi, mērķi un citas metodikas, kas ir atspoguļotas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regulā.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mērķis ir jaudas aprēķināšanas un piešķiršanas koordinēšana un saskaņošana nākamās dienas un </w:t>
      </w:r>
      <w:r w:rsidR="003038BA">
        <w:rPr>
          <w:rFonts w:ascii="Times New Roman" w:eastAsia="Times New Roman" w:hAnsi="Times New Roman" w:cs="Times New Roman"/>
          <w:sz w:val="22"/>
          <w:szCs w:val="22"/>
          <w:lang w:bidi="lv-LV"/>
        </w:rPr>
        <w:t>tekošās</w:t>
      </w:r>
      <w:r w:rsidR="003038BA" w:rsidRPr="000B36D5">
        <w:rPr>
          <w:rFonts w:ascii="Times New Roman" w:eastAsia="Times New Roman" w:hAnsi="Times New Roman" w:cs="Times New Roman"/>
          <w:sz w:val="22"/>
          <w:szCs w:val="22"/>
          <w:lang w:bidi="lv-LV"/>
        </w:rPr>
        <w:t xml:space="preserve"> </w:t>
      </w:r>
      <w:r w:rsidRPr="000B36D5">
        <w:rPr>
          <w:rFonts w:ascii="Times New Roman" w:eastAsia="Times New Roman" w:hAnsi="Times New Roman" w:cs="Times New Roman"/>
          <w:sz w:val="22"/>
          <w:szCs w:val="22"/>
          <w:lang w:bidi="lv-LV"/>
        </w:rPr>
        <w:t>dienas pārrobežu tirgos.</w:t>
      </w:r>
    </w:p>
    <w:p w14:paraId="10D1ECD6" w14:textId="77777777" w:rsidR="003C08D4" w:rsidRDefault="003C08D4" w:rsidP="003C08D4">
      <w:pPr>
        <w:jc w:val="both"/>
        <w:rPr>
          <w:rFonts w:ascii="Times New Roman" w:hAnsi="Times New Roman" w:cs="Times New Roman"/>
          <w:sz w:val="22"/>
          <w:szCs w:val="22"/>
        </w:rPr>
      </w:pPr>
    </w:p>
    <w:p w14:paraId="60779958" w14:textId="6538C4FB" w:rsidR="003C08D4"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i/>
          <w:sz w:val="22"/>
          <w:szCs w:val="22"/>
          <w:lang w:bidi="lv-LV"/>
        </w:rPr>
        <w:t xml:space="preserve">ID SEC </w:t>
      </w:r>
      <w:r w:rsidRPr="000B36D5">
        <w:rPr>
          <w:rFonts w:ascii="Times New Roman" w:eastAsia="Times New Roman" w:hAnsi="Times New Roman" w:cs="Times New Roman"/>
          <w:sz w:val="22"/>
          <w:szCs w:val="22"/>
          <w:lang w:bidi="lv-LV"/>
        </w:rPr>
        <w:t xml:space="preserve">priekšlikums, ņemot vērā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56. pantu, attiecas uz situācijām, kad vairāk nekā viens Nominētais elektroenerģijas tirgus operators (turpmāk tekstā – </w:t>
      </w:r>
      <w:r w:rsidRPr="000B36D5">
        <w:rPr>
          <w:rFonts w:ascii="Times New Roman" w:eastAsia="Times New Roman" w:hAnsi="Times New Roman" w:cs="Times New Roman"/>
          <w:b/>
          <w:sz w:val="22"/>
          <w:szCs w:val="22"/>
          <w:lang w:bidi="lv-LV"/>
        </w:rPr>
        <w:t>"NETO"</w:t>
      </w:r>
      <w:r w:rsidRPr="000B36D5">
        <w:rPr>
          <w:rFonts w:ascii="Times New Roman" w:eastAsia="Times New Roman" w:hAnsi="Times New Roman" w:cs="Times New Roman"/>
          <w:sz w:val="22"/>
          <w:szCs w:val="22"/>
          <w:lang w:bidi="lv-LV"/>
        </w:rPr>
        <w:t xml:space="preserve">) ir iecelts un/vai piedāvā </w:t>
      </w:r>
      <w:r w:rsidR="003038BA">
        <w:rPr>
          <w:rFonts w:ascii="Times New Roman" w:eastAsia="Times New Roman" w:hAnsi="Times New Roman" w:cs="Times New Roman"/>
          <w:sz w:val="22"/>
          <w:szCs w:val="22"/>
          <w:lang w:bidi="lv-LV"/>
        </w:rPr>
        <w:t>tekošās</w:t>
      </w:r>
      <w:r w:rsidR="003038BA" w:rsidRPr="000B36D5">
        <w:rPr>
          <w:rFonts w:ascii="Times New Roman" w:eastAsia="Times New Roman" w:hAnsi="Times New Roman" w:cs="Times New Roman"/>
          <w:sz w:val="22"/>
          <w:szCs w:val="22"/>
          <w:lang w:bidi="lv-LV"/>
        </w:rPr>
        <w:t xml:space="preserve"> </w:t>
      </w:r>
      <w:r w:rsidRPr="000B36D5">
        <w:rPr>
          <w:rFonts w:ascii="Times New Roman" w:eastAsia="Times New Roman" w:hAnsi="Times New Roman" w:cs="Times New Roman"/>
          <w:sz w:val="22"/>
          <w:szCs w:val="22"/>
          <w:lang w:bidi="lv-LV"/>
        </w:rPr>
        <w:t xml:space="preserve">dienas tirdzniecības pakalpojumus konkrētā ģeogrāfiskajā apgabalā. Turklāt saskaņā ar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4. panta 1. punktu </w:t>
      </w:r>
      <w:r w:rsidRPr="000B36D5">
        <w:rPr>
          <w:rFonts w:ascii="Times New Roman" w:eastAsia="Times New Roman" w:hAnsi="Times New Roman" w:cs="Times New Roman"/>
          <w:i/>
          <w:sz w:val="22"/>
          <w:szCs w:val="22"/>
          <w:lang w:bidi="lv-LV"/>
        </w:rPr>
        <w:t>SIDC</w:t>
      </w:r>
      <w:r w:rsidRPr="000B36D5">
        <w:rPr>
          <w:rFonts w:ascii="Times New Roman" w:eastAsia="Times New Roman" w:hAnsi="Times New Roman" w:cs="Times New Roman"/>
          <w:sz w:val="22"/>
          <w:szCs w:val="22"/>
          <w:lang w:bidi="lv-LV"/>
        </w:rPr>
        <w:t xml:space="preserve"> veikšanai dalībvalstī var tikt iecelti vairāki NETO. Katram NETO piešķir attiecīgā NETO tirdzniecības platformu. Ja ģeogrāfiskajā apgabalā darbojas vairāki NETO, attiecīgajā ģeogrāfiskajā apgabalā ir vairākas NETO tirdzniecības platformas.</w:t>
      </w:r>
    </w:p>
    <w:p w14:paraId="6742A95F" w14:textId="77777777" w:rsidR="003C08D4" w:rsidRPr="000B36D5" w:rsidRDefault="003C08D4" w:rsidP="003C08D4">
      <w:pPr>
        <w:jc w:val="both"/>
        <w:rPr>
          <w:rFonts w:ascii="Times New Roman" w:hAnsi="Times New Roman" w:cs="Times New Roman"/>
          <w:sz w:val="22"/>
          <w:szCs w:val="22"/>
        </w:rPr>
      </w:pPr>
    </w:p>
    <w:p w14:paraId="03688AA4" w14:textId="77777777"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priekšlikums attiecas uz situācijām, kad tirdzniecības zona atbilst grafiku sagatavošanas zonai, kā arī vienā tirdzniecības zonā ir vairākas grafiku sagatavošanas zonas.</w:t>
      </w:r>
    </w:p>
    <w:p w14:paraId="5C9B62FC" w14:textId="77777777" w:rsidR="003C08D4" w:rsidRDefault="003C08D4" w:rsidP="003C08D4">
      <w:pPr>
        <w:jc w:val="both"/>
        <w:rPr>
          <w:rFonts w:ascii="Times New Roman" w:hAnsi="Times New Roman" w:cs="Times New Roman"/>
          <w:sz w:val="22"/>
          <w:szCs w:val="22"/>
        </w:rPr>
      </w:pPr>
    </w:p>
    <w:p w14:paraId="50313A3C" w14:textId="16F9B6FA"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sz w:val="22"/>
          <w:szCs w:val="22"/>
          <w:lang w:bidi="lv-LV"/>
        </w:rPr>
        <w:t xml:space="preserve">Šis </w:t>
      </w: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priekšlikums paredz aprēķināt plānoto apmaiņu starp tirdzniecības zonām, grafiku sagatavošanas zonām un NETO tirdzniecības platformām.</w:t>
      </w:r>
    </w:p>
    <w:p w14:paraId="0B93DDBA" w14:textId="77777777" w:rsidR="003C08D4" w:rsidRDefault="003C08D4" w:rsidP="003C08D4">
      <w:pPr>
        <w:jc w:val="both"/>
        <w:rPr>
          <w:rFonts w:ascii="Times New Roman" w:hAnsi="Times New Roman" w:cs="Times New Roman"/>
          <w:sz w:val="22"/>
          <w:szCs w:val="22"/>
        </w:rPr>
      </w:pPr>
    </w:p>
    <w:p w14:paraId="42ADD873" w14:textId="70613FF9"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sz w:val="22"/>
          <w:szCs w:val="22"/>
          <w:lang w:bidi="lv-LV"/>
        </w:rPr>
        <w:t xml:space="preserve">Saskaņā ar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9. panta 9. punktu </w:t>
      </w: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priekšlikumā tiek iekļauts priekšlikums par piedāvātās </w:t>
      </w: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metodikas īstenošanas grafiku.</w:t>
      </w:r>
    </w:p>
    <w:p w14:paraId="2255903E" w14:textId="77777777" w:rsidR="003C08D4" w:rsidRDefault="003C08D4" w:rsidP="003C08D4">
      <w:pPr>
        <w:jc w:val="both"/>
        <w:rPr>
          <w:rFonts w:ascii="Times New Roman" w:hAnsi="Times New Roman" w:cs="Times New Roman"/>
          <w:sz w:val="22"/>
          <w:szCs w:val="22"/>
        </w:rPr>
      </w:pPr>
    </w:p>
    <w:p w14:paraId="478B538B" w14:textId="34BB2FB4"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metodikā tiek lietoti risinājumi, kas ir izstrādāti algoritma priekšlikumam saskaņā ar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37. pantu (turpmāk tekstā – "algoritma metodika"), saskaņā ar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57. pantu izstrādātie pasākumi vairāk nekā vienam NETO vienā tirdzniecības zonā un saskaņā ar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77. pantu izstrādātie pasākumi klīringam un norēķiniem starp centrālajiem darījuma partneriem un nosūtītājiem. Līdz ar to īstenošanai ir jānotiek sadarbībā ar NETO, piemērojot kopīgus risinājumus, lai nodrošinātu plūsmas aprēķinu konsekvenci un saskaņotību.</w:t>
      </w:r>
    </w:p>
    <w:p w14:paraId="4710DE1A" w14:textId="77777777" w:rsidR="003C08D4" w:rsidRDefault="003C08D4" w:rsidP="003C08D4">
      <w:pPr>
        <w:jc w:val="both"/>
        <w:rPr>
          <w:rFonts w:ascii="Times New Roman" w:hAnsi="Times New Roman" w:cs="Times New Roman"/>
          <w:sz w:val="22"/>
          <w:szCs w:val="22"/>
        </w:rPr>
      </w:pPr>
    </w:p>
    <w:p w14:paraId="6D2566C8" w14:textId="075FC717" w:rsidR="003C08D4" w:rsidRPr="000B36D5" w:rsidRDefault="003C08D4" w:rsidP="003C08D4">
      <w:pPr>
        <w:pStyle w:val="Sarakstarindkopa"/>
        <w:numPr>
          <w:ilvl w:val="0"/>
          <w:numId w:val="11"/>
        </w:numPr>
        <w:jc w:val="both"/>
        <w:rPr>
          <w:rFonts w:ascii="Times New Roman" w:hAnsi="Times New Roman" w:cs="Times New Roman"/>
          <w:sz w:val="22"/>
          <w:szCs w:val="22"/>
        </w:rPr>
      </w:pPr>
      <w:r w:rsidRPr="000B36D5">
        <w:rPr>
          <w:rFonts w:ascii="Times New Roman" w:eastAsia="Times New Roman" w:hAnsi="Times New Roman" w:cs="Times New Roman"/>
          <w:sz w:val="22"/>
          <w:szCs w:val="22"/>
          <w:lang w:bidi="lv-LV"/>
        </w:rPr>
        <w:t xml:space="preserve">Saskaņā ar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9. panta 9. punktu tiek aprakstīta piedāvātās </w:t>
      </w:r>
      <w:r w:rsidRPr="000B36D5">
        <w:rPr>
          <w:rFonts w:ascii="Times New Roman" w:eastAsia="Times New Roman" w:hAnsi="Times New Roman" w:cs="Times New Roman"/>
          <w:i/>
          <w:sz w:val="22"/>
          <w:szCs w:val="22"/>
          <w:lang w:bidi="lv-LV"/>
        </w:rPr>
        <w:t>ID SEC</w:t>
      </w:r>
      <w:r w:rsidRPr="000B36D5">
        <w:rPr>
          <w:rFonts w:ascii="Times New Roman" w:eastAsia="Times New Roman" w:hAnsi="Times New Roman" w:cs="Times New Roman"/>
          <w:sz w:val="22"/>
          <w:szCs w:val="22"/>
          <w:lang w:bidi="lv-LV"/>
        </w:rPr>
        <w:t xml:space="preserve"> metodikas sagaidāmā ietekme uz </w:t>
      </w:r>
      <w:r w:rsidRPr="000B36D5">
        <w:rPr>
          <w:rFonts w:ascii="Times New Roman" w:eastAsia="Times New Roman" w:hAnsi="Times New Roman" w:cs="Times New Roman"/>
          <w:i/>
          <w:sz w:val="22"/>
          <w:szCs w:val="22"/>
          <w:lang w:bidi="lv-LV"/>
        </w:rPr>
        <w:t>CACM</w:t>
      </w:r>
      <w:r w:rsidRPr="000B36D5">
        <w:rPr>
          <w:rFonts w:ascii="Times New Roman" w:eastAsia="Times New Roman" w:hAnsi="Times New Roman" w:cs="Times New Roman"/>
          <w:sz w:val="22"/>
          <w:szCs w:val="22"/>
          <w:lang w:bidi="lv-LV"/>
        </w:rPr>
        <w:t xml:space="preserve"> regulas mērķiem.</w:t>
      </w:r>
    </w:p>
    <w:p w14:paraId="4EE4F09B" w14:textId="77777777" w:rsidR="003C08D4" w:rsidRPr="000B36D5" w:rsidRDefault="003C08D4" w:rsidP="003C08D4">
      <w:pPr>
        <w:widowControl/>
        <w:spacing w:after="160" w:line="259" w:lineRule="auto"/>
        <w:rPr>
          <w:rFonts w:ascii="Times New Roman" w:hAnsi="Times New Roman" w:cs="Times New Roman"/>
          <w:sz w:val="22"/>
          <w:szCs w:val="22"/>
        </w:rPr>
      </w:pPr>
      <w:r>
        <w:rPr>
          <w:rFonts w:ascii="Times New Roman" w:eastAsia="Times New Roman" w:hAnsi="Times New Roman" w:cs="Times New Roman"/>
          <w:sz w:val="22"/>
          <w:szCs w:val="22"/>
          <w:lang w:bidi="lv-LV"/>
        </w:rPr>
        <w:br w:type="page"/>
      </w:r>
    </w:p>
    <w:p w14:paraId="3FEF3E27" w14:textId="4C5EF5A7" w:rsidR="003C08D4" w:rsidRDefault="003C08D4" w:rsidP="003C08D4">
      <w:pPr>
        <w:pStyle w:val="Sarakstarindkopa"/>
        <w:numPr>
          <w:ilvl w:val="0"/>
          <w:numId w:val="12"/>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lastRenderedPageBreak/>
        <w:t>CACM</w:t>
      </w:r>
      <w:r w:rsidRPr="004C69FA">
        <w:rPr>
          <w:rFonts w:ascii="Times New Roman" w:eastAsia="Times New Roman" w:hAnsi="Times New Roman" w:cs="Times New Roman"/>
          <w:sz w:val="22"/>
          <w:szCs w:val="22"/>
          <w:lang w:bidi="lv-LV"/>
        </w:rPr>
        <w:t xml:space="preserve"> regulas 3. panta a) apakšpunkts noteic, ka tās mērķis ir veicināt efektīvu konkurenci elektroenerģijas ražošanā, tirdzniecībā un piegādē.</w:t>
      </w:r>
    </w:p>
    <w:p w14:paraId="583041D2" w14:textId="77777777" w:rsidR="003C08D4" w:rsidRPr="004C69FA" w:rsidRDefault="003C08D4" w:rsidP="003C08D4">
      <w:pPr>
        <w:pStyle w:val="Sarakstarindkopa"/>
        <w:numPr>
          <w:ilvl w:val="1"/>
          <w:numId w:val="12"/>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tā kā tā tieši lietos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rezultātus, neietekmē konkurenci elektroenerģijas ražošanā, tirdzniecībā un piegādē.</w:t>
      </w:r>
    </w:p>
    <w:p w14:paraId="4E5A0575" w14:textId="77777777" w:rsidR="003C08D4" w:rsidRDefault="003C08D4" w:rsidP="003C08D4">
      <w:pPr>
        <w:jc w:val="both"/>
        <w:rPr>
          <w:rFonts w:ascii="Times New Roman" w:hAnsi="Times New Roman" w:cs="Times New Roman"/>
          <w:sz w:val="22"/>
          <w:szCs w:val="22"/>
        </w:rPr>
      </w:pPr>
    </w:p>
    <w:p w14:paraId="6E90301E" w14:textId="4DE9C09A" w:rsidR="003C08D4" w:rsidRDefault="003C08D4" w:rsidP="003C08D4">
      <w:pPr>
        <w:pStyle w:val="Sarakstarindkopa"/>
        <w:numPr>
          <w:ilvl w:val="0"/>
          <w:numId w:val="12"/>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b) apakšpunkts noteic, ka tās mērķis ir nodrošināt pārvades infrastruktūras optimālu </w:t>
      </w:r>
      <w:r w:rsidR="00810DE8" w:rsidRPr="004C69FA">
        <w:rPr>
          <w:rFonts w:ascii="Times New Roman" w:eastAsia="Times New Roman" w:hAnsi="Times New Roman" w:cs="Times New Roman"/>
          <w:sz w:val="22"/>
          <w:szCs w:val="22"/>
          <w:lang w:bidi="lv-LV"/>
        </w:rPr>
        <w:t>izmanto</w:t>
      </w:r>
      <w:r w:rsidR="00810DE8">
        <w:rPr>
          <w:rFonts w:ascii="Times New Roman" w:eastAsia="Times New Roman" w:hAnsi="Times New Roman" w:cs="Times New Roman"/>
          <w:sz w:val="22"/>
          <w:szCs w:val="22"/>
          <w:lang w:bidi="lv-LV"/>
        </w:rPr>
        <w:t>šanu</w:t>
      </w:r>
      <w:r w:rsidRPr="004C69FA">
        <w:rPr>
          <w:rFonts w:ascii="Times New Roman" w:eastAsia="Times New Roman" w:hAnsi="Times New Roman" w:cs="Times New Roman"/>
          <w:sz w:val="22"/>
          <w:szCs w:val="22"/>
          <w:lang w:bidi="lv-LV"/>
        </w:rPr>
        <w:t>.</w:t>
      </w:r>
    </w:p>
    <w:p w14:paraId="2C92EE34" w14:textId="77777777" w:rsidR="003C08D4" w:rsidRPr="004C69FA" w:rsidRDefault="003C08D4" w:rsidP="003C08D4">
      <w:pPr>
        <w:pStyle w:val="Sarakstarindkopa"/>
        <w:numPr>
          <w:ilvl w:val="1"/>
          <w:numId w:val="12"/>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No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metodikas izrietošā plānotā apmaiņa pamatojas tieši uz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rezultātiem, proti, tās pamatā ir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ietvaros veiktie tirdzniecības darījumi un kā tāda tā ļauj optimāli izmantot pārvades jaudu.</w:t>
      </w:r>
    </w:p>
    <w:p w14:paraId="1BC90BBF" w14:textId="77777777" w:rsidR="003C08D4" w:rsidRDefault="003C08D4" w:rsidP="003C08D4">
      <w:pPr>
        <w:jc w:val="both"/>
        <w:rPr>
          <w:rFonts w:ascii="Times New Roman" w:hAnsi="Times New Roman" w:cs="Times New Roman"/>
          <w:sz w:val="22"/>
          <w:szCs w:val="22"/>
        </w:rPr>
      </w:pPr>
    </w:p>
    <w:p w14:paraId="0AD46379" w14:textId="446DF8F8" w:rsidR="003C08D4" w:rsidRDefault="003C08D4" w:rsidP="003C08D4">
      <w:pPr>
        <w:pStyle w:val="Sarakstarindkopa"/>
        <w:numPr>
          <w:ilvl w:val="0"/>
          <w:numId w:val="13"/>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c) apakšpunkts noteic</w:t>
      </w:r>
      <w:r w:rsidR="00810DE8">
        <w:rPr>
          <w:rFonts w:ascii="Times New Roman" w:eastAsia="Times New Roman" w:hAnsi="Times New Roman" w:cs="Times New Roman"/>
          <w:sz w:val="22"/>
          <w:szCs w:val="22"/>
          <w:lang w:bidi="lv-LV"/>
        </w:rPr>
        <w:t>,</w:t>
      </w:r>
      <w:r w:rsidRPr="004C69FA">
        <w:rPr>
          <w:rFonts w:ascii="Times New Roman" w:eastAsia="Times New Roman" w:hAnsi="Times New Roman" w:cs="Times New Roman"/>
          <w:sz w:val="22"/>
          <w:szCs w:val="22"/>
          <w:lang w:bidi="lv-LV"/>
        </w:rPr>
        <w:t xml:space="preserve"> ka tās mērķis ir nodrošināt darbības drošību.</w:t>
      </w:r>
    </w:p>
    <w:p w14:paraId="10F8DE92" w14:textId="77777777" w:rsidR="003C08D4" w:rsidRDefault="003C08D4" w:rsidP="003C08D4">
      <w:pPr>
        <w:pStyle w:val="Sarakstarindkopa"/>
        <w:numPr>
          <w:ilvl w:val="1"/>
          <w:numId w:val="13"/>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lieto rezultātus nepastarpināti no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w:t>
      </w:r>
      <w:r w:rsidRPr="004C69FA">
        <w:rPr>
          <w:rFonts w:ascii="Times New Roman" w:eastAsia="Times New Roman" w:hAnsi="Times New Roman" w:cs="Times New Roman"/>
          <w:i/>
          <w:sz w:val="22"/>
          <w:szCs w:val="22"/>
          <w:lang w:bidi="lv-LV"/>
        </w:rPr>
        <w:t xml:space="preserve">ID SEC </w:t>
      </w:r>
      <w:r w:rsidRPr="004C69FA">
        <w:rPr>
          <w:rFonts w:ascii="Times New Roman" w:eastAsia="Times New Roman" w:hAnsi="Times New Roman" w:cs="Times New Roman"/>
          <w:sz w:val="22"/>
          <w:szCs w:val="22"/>
          <w:lang w:bidi="lv-LV"/>
        </w:rPr>
        <w:t xml:space="preserve">metodiku ierosina kā pēc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notiekošu procesu un tā neietekmē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regulā paredzēto darbības drošību.</w:t>
      </w:r>
    </w:p>
    <w:p w14:paraId="367F30B3" w14:textId="77777777" w:rsidR="003C08D4" w:rsidRPr="004C69FA" w:rsidRDefault="003C08D4" w:rsidP="003C08D4">
      <w:pPr>
        <w:jc w:val="both"/>
        <w:rPr>
          <w:rFonts w:ascii="Times New Roman" w:hAnsi="Times New Roman" w:cs="Times New Roman"/>
          <w:sz w:val="22"/>
          <w:szCs w:val="22"/>
        </w:rPr>
      </w:pPr>
    </w:p>
    <w:p w14:paraId="487C1C91" w14:textId="2D78166F" w:rsidR="003C08D4" w:rsidRDefault="003C08D4" w:rsidP="003C08D4">
      <w:pPr>
        <w:pStyle w:val="Sarakstarindkopa"/>
        <w:numPr>
          <w:ilvl w:val="0"/>
          <w:numId w:val="13"/>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d) apakšpunkts noteic, ka tās mērķis ir pilnveidot </w:t>
      </w:r>
      <w:proofErr w:type="spellStart"/>
      <w:r w:rsidRPr="004C69FA">
        <w:rPr>
          <w:rFonts w:ascii="Times New Roman" w:eastAsia="Times New Roman" w:hAnsi="Times New Roman" w:cs="Times New Roman"/>
          <w:sz w:val="22"/>
          <w:szCs w:val="22"/>
          <w:lang w:bidi="lv-LV"/>
        </w:rPr>
        <w:t>starpzonu</w:t>
      </w:r>
      <w:proofErr w:type="spellEnd"/>
      <w:r w:rsidRPr="004C69FA">
        <w:rPr>
          <w:rFonts w:ascii="Times New Roman" w:eastAsia="Times New Roman" w:hAnsi="Times New Roman" w:cs="Times New Roman"/>
          <w:sz w:val="22"/>
          <w:szCs w:val="22"/>
          <w:lang w:bidi="lv-LV"/>
        </w:rPr>
        <w:t xml:space="preserve"> jaudas aprēķināšanu un piešķiršanu.</w:t>
      </w:r>
    </w:p>
    <w:p w14:paraId="5C60C2D6" w14:textId="1B8EB19C" w:rsidR="003C08D4" w:rsidRPr="004C69FA" w:rsidRDefault="003C08D4" w:rsidP="003C08D4">
      <w:pPr>
        <w:pStyle w:val="Sarakstarindkopa"/>
        <w:numPr>
          <w:ilvl w:val="1"/>
          <w:numId w:val="13"/>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No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izrietošā plānotā apmaiņa nepārveido vienotas </w:t>
      </w:r>
      <w:r w:rsidR="003038BA">
        <w:rPr>
          <w:rFonts w:ascii="Times New Roman" w:eastAsia="Times New Roman" w:hAnsi="Times New Roman" w:cs="Times New Roman"/>
          <w:sz w:val="22"/>
          <w:szCs w:val="22"/>
          <w:lang w:bidi="lv-LV"/>
        </w:rPr>
        <w:t>tekošās</w:t>
      </w:r>
      <w:r w:rsidR="003038BA" w:rsidRPr="004C69FA">
        <w:rPr>
          <w:rFonts w:ascii="Times New Roman" w:eastAsia="Times New Roman" w:hAnsi="Times New Roman" w:cs="Times New Roman"/>
          <w:sz w:val="22"/>
          <w:szCs w:val="22"/>
          <w:lang w:bidi="lv-LV"/>
        </w:rPr>
        <w:t xml:space="preserve"> </w:t>
      </w:r>
      <w:r w:rsidRPr="004C69FA">
        <w:rPr>
          <w:rFonts w:ascii="Times New Roman" w:eastAsia="Times New Roman" w:hAnsi="Times New Roman" w:cs="Times New Roman"/>
          <w:sz w:val="22"/>
          <w:szCs w:val="22"/>
          <w:lang w:bidi="lv-LV"/>
        </w:rPr>
        <w:t>dienas tirgus sasaistīšanas sesijas rezultātus.</w:t>
      </w:r>
    </w:p>
    <w:p w14:paraId="071F759F" w14:textId="77777777" w:rsidR="003C08D4" w:rsidRDefault="003C08D4" w:rsidP="003C08D4">
      <w:pPr>
        <w:jc w:val="both"/>
        <w:rPr>
          <w:rFonts w:ascii="Times New Roman" w:hAnsi="Times New Roman" w:cs="Times New Roman"/>
          <w:sz w:val="22"/>
          <w:szCs w:val="22"/>
        </w:rPr>
      </w:pPr>
    </w:p>
    <w:p w14:paraId="5CEFFB20" w14:textId="1B482877" w:rsidR="003C08D4" w:rsidRDefault="003C08D4" w:rsidP="003C08D4">
      <w:pPr>
        <w:pStyle w:val="Sarakstarindkopa"/>
        <w:numPr>
          <w:ilvl w:val="0"/>
          <w:numId w:val="14"/>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e) apakšpunkts noteic, ka tās mērķis ir nodrošināt taisnīgu un nediskriminējošu attieksmi pret PSO, NETO, Aģentūru, regulatīvajām iestādēm un tirgus dalībniekiem.</w:t>
      </w:r>
    </w:p>
    <w:p w14:paraId="7D81D476" w14:textId="77777777" w:rsidR="003C08D4" w:rsidRPr="004C69FA" w:rsidRDefault="003C08D4" w:rsidP="003C08D4">
      <w:pPr>
        <w:pStyle w:val="Sarakstarindkopa"/>
        <w:numPr>
          <w:ilvl w:val="1"/>
          <w:numId w:val="14"/>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ir taisnīga, caurredzama un pamatojas uz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rezultātiem.</w:t>
      </w:r>
    </w:p>
    <w:p w14:paraId="78C0AAE6" w14:textId="77777777" w:rsidR="003C08D4" w:rsidRDefault="003C08D4" w:rsidP="003C08D4">
      <w:pPr>
        <w:jc w:val="both"/>
        <w:rPr>
          <w:rFonts w:ascii="Times New Roman" w:hAnsi="Times New Roman" w:cs="Times New Roman"/>
          <w:sz w:val="22"/>
          <w:szCs w:val="22"/>
        </w:rPr>
      </w:pPr>
    </w:p>
    <w:p w14:paraId="12693976" w14:textId="35D1EF02" w:rsidR="003C08D4" w:rsidRDefault="003C08D4" w:rsidP="003C08D4">
      <w:pPr>
        <w:pStyle w:val="Sarakstarindkopa"/>
        <w:numPr>
          <w:ilvl w:val="0"/>
          <w:numId w:val="14"/>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f) apakšpunkts noteic, ka tās mērķis ir nodrošināt un uzlabot caurredzamību un informācijas ticamību.</w:t>
      </w:r>
    </w:p>
    <w:p w14:paraId="69CE19BD" w14:textId="77777777" w:rsidR="003C08D4" w:rsidRPr="004C69FA" w:rsidRDefault="003C08D4" w:rsidP="003C08D4">
      <w:pPr>
        <w:pStyle w:val="Sarakstarindkopa"/>
        <w:numPr>
          <w:ilvl w:val="1"/>
          <w:numId w:val="14"/>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paredz pakāpenisku, augšupejošu pieeju (no katra tirdzniecības darījuma starp apkopojamajām NETO tirdzniecības platformām līdz grafiku sagatavošanas zonai un tirdzniecības zonai) plānotās apmaiņas aprēķināšanai, nodrošinot un uzlabojot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metodikas caurredzamību un ticamību.</w:t>
      </w:r>
    </w:p>
    <w:p w14:paraId="22BE5881" w14:textId="77777777" w:rsidR="003C08D4" w:rsidRDefault="003C08D4" w:rsidP="003C08D4">
      <w:pPr>
        <w:jc w:val="both"/>
        <w:rPr>
          <w:rFonts w:ascii="Times New Roman" w:hAnsi="Times New Roman" w:cs="Times New Roman"/>
          <w:sz w:val="22"/>
          <w:szCs w:val="22"/>
        </w:rPr>
      </w:pPr>
    </w:p>
    <w:p w14:paraId="7B561577" w14:textId="709BDAF4" w:rsidR="003C08D4" w:rsidRDefault="003C08D4" w:rsidP="003C08D4">
      <w:pPr>
        <w:pStyle w:val="Sarakstarindkopa"/>
        <w:numPr>
          <w:ilvl w:val="0"/>
          <w:numId w:val="15"/>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g) apakšpunkts noteic, ka tās mērķis ir sekmēt elektroenerģijas pārvades sistēmas un elektroenerģijas sektora efektīvu ilgtermiņa darbību un attīstību Savienībā.</w:t>
      </w:r>
    </w:p>
    <w:p w14:paraId="308276CF" w14:textId="4C406318" w:rsidR="003C08D4" w:rsidRPr="004C69FA" w:rsidRDefault="003C08D4" w:rsidP="003C08D4">
      <w:pPr>
        <w:pStyle w:val="Sarakstarindkopa"/>
        <w:numPr>
          <w:ilvl w:val="1"/>
          <w:numId w:val="15"/>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demonstrē nepārprotamu visaptverošu Tīkla kodeksa nostāju, lai sekmētu vienotā Eiropas </w:t>
      </w:r>
      <w:r w:rsidR="003038BA">
        <w:rPr>
          <w:rFonts w:ascii="Times New Roman" w:eastAsia="Times New Roman" w:hAnsi="Times New Roman" w:cs="Times New Roman"/>
          <w:sz w:val="22"/>
          <w:szCs w:val="22"/>
          <w:lang w:bidi="lv-LV"/>
        </w:rPr>
        <w:t>tekošās</w:t>
      </w:r>
      <w:r w:rsidR="003038BA" w:rsidRPr="004C69FA">
        <w:rPr>
          <w:rFonts w:ascii="Times New Roman" w:eastAsia="Times New Roman" w:hAnsi="Times New Roman" w:cs="Times New Roman"/>
          <w:sz w:val="22"/>
          <w:szCs w:val="22"/>
          <w:lang w:bidi="lv-LV"/>
        </w:rPr>
        <w:t xml:space="preserve"> </w:t>
      </w:r>
      <w:r w:rsidRPr="004C69FA">
        <w:rPr>
          <w:rFonts w:ascii="Times New Roman" w:eastAsia="Times New Roman" w:hAnsi="Times New Roman" w:cs="Times New Roman"/>
          <w:sz w:val="22"/>
          <w:szCs w:val="22"/>
          <w:lang w:bidi="lv-LV"/>
        </w:rPr>
        <w:t xml:space="preserve">dienas elektroenerģijas tirgus efektīvu attīstību.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pateicoties tās struktūrai, veicina Eiropas pārvades sistēmas efektīvu ilgtermiņa darbību un attīstību.</w:t>
      </w:r>
    </w:p>
    <w:p w14:paraId="1814B15A" w14:textId="77777777" w:rsidR="003C08D4" w:rsidRDefault="003C08D4" w:rsidP="003C08D4">
      <w:pPr>
        <w:jc w:val="both"/>
        <w:rPr>
          <w:rFonts w:ascii="Times New Roman" w:hAnsi="Times New Roman" w:cs="Times New Roman"/>
          <w:sz w:val="22"/>
          <w:szCs w:val="22"/>
        </w:rPr>
      </w:pPr>
    </w:p>
    <w:p w14:paraId="6CE48E7A" w14:textId="739A5B5B" w:rsidR="003C08D4" w:rsidRDefault="003C08D4" w:rsidP="003C08D4">
      <w:pPr>
        <w:pStyle w:val="Sarakstarindkopa"/>
        <w:numPr>
          <w:ilvl w:val="0"/>
          <w:numId w:val="15"/>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h) apakšpunkts noteic, ka tās mērķis ir ņemt vērā vajadzību nodrošināt taisnīgu un akurātu tirgu un taisnīgu un akurātu cenu veidošanu.</w:t>
      </w:r>
    </w:p>
    <w:p w14:paraId="173AD4C9" w14:textId="77777777" w:rsidR="003C08D4" w:rsidRPr="004C69FA" w:rsidRDefault="003C08D4" w:rsidP="003C08D4">
      <w:pPr>
        <w:pStyle w:val="Sarakstarindkopa"/>
        <w:numPr>
          <w:ilvl w:val="1"/>
          <w:numId w:val="15"/>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neskar un nekaitē taisnīgam un akurātam tirgum un taisnīgu un akurātu cenu veidošanai, jo tā neietekmē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rezultātus.</w:t>
      </w:r>
    </w:p>
    <w:p w14:paraId="4701DD3D" w14:textId="77777777" w:rsidR="003C08D4" w:rsidRPr="000B36D5" w:rsidRDefault="003C08D4" w:rsidP="003C08D4">
      <w:pPr>
        <w:jc w:val="both"/>
        <w:rPr>
          <w:rFonts w:ascii="Times New Roman" w:hAnsi="Times New Roman" w:cs="Times New Roman"/>
          <w:sz w:val="22"/>
          <w:szCs w:val="22"/>
        </w:rPr>
      </w:pPr>
    </w:p>
    <w:p w14:paraId="2D914C2C" w14:textId="064826D0" w:rsidR="003C08D4" w:rsidRDefault="003C08D4" w:rsidP="003C08D4">
      <w:pPr>
        <w:pStyle w:val="Sarakstarindkopa"/>
        <w:numPr>
          <w:ilvl w:val="0"/>
          <w:numId w:val="16"/>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i) apakšpunkts noteic, ka tās mērķis ir radīt vienlīdzīgus konkurences apstākļus NETO.</w:t>
      </w:r>
    </w:p>
    <w:p w14:paraId="3A23F3C0" w14:textId="77777777" w:rsidR="003C08D4" w:rsidRPr="004C69FA" w:rsidRDefault="003C08D4" w:rsidP="003C08D4">
      <w:pPr>
        <w:pStyle w:val="Sarakstarindkopa"/>
        <w:numPr>
          <w:ilvl w:val="1"/>
          <w:numId w:val="16"/>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rada vienlīdzīgus konkurences apstākļus NETO, jo tā neietekmē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rezultātus. Turklāt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atbalsta scenārijus, kur </w:t>
      </w:r>
      <w:r w:rsidRPr="004C69FA">
        <w:rPr>
          <w:rFonts w:ascii="Times New Roman" w:eastAsia="Times New Roman" w:hAnsi="Times New Roman" w:cs="Times New Roman"/>
          <w:sz w:val="22"/>
          <w:szCs w:val="22"/>
          <w:lang w:bidi="lv-LV"/>
        </w:rPr>
        <w:lastRenderedPageBreak/>
        <w:t>vairāki NETO darbojas vienā tirdzniecības zonā vai grafiku sagatavošanas zonā.</w:t>
      </w:r>
    </w:p>
    <w:p w14:paraId="104AD655" w14:textId="092851AE" w:rsidR="003C08D4" w:rsidRDefault="003C08D4" w:rsidP="003C08D4">
      <w:pPr>
        <w:pStyle w:val="Sarakstarindkopa"/>
        <w:numPr>
          <w:ilvl w:val="0"/>
          <w:numId w:val="16"/>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 panta j) apakšpunkts noteic, ka tās mērķis ir nodrošināt nediskriminējošu piekļuvi </w:t>
      </w:r>
      <w:proofErr w:type="spellStart"/>
      <w:r w:rsidRPr="004C69FA">
        <w:rPr>
          <w:rFonts w:ascii="Times New Roman" w:eastAsia="Times New Roman" w:hAnsi="Times New Roman" w:cs="Times New Roman"/>
          <w:sz w:val="22"/>
          <w:szCs w:val="22"/>
          <w:lang w:bidi="lv-LV"/>
        </w:rPr>
        <w:t>starpzonu</w:t>
      </w:r>
      <w:proofErr w:type="spellEnd"/>
      <w:r w:rsidRPr="004C69FA">
        <w:rPr>
          <w:rFonts w:ascii="Times New Roman" w:eastAsia="Times New Roman" w:hAnsi="Times New Roman" w:cs="Times New Roman"/>
          <w:sz w:val="22"/>
          <w:szCs w:val="22"/>
          <w:lang w:bidi="lv-LV"/>
        </w:rPr>
        <w:t xml:space="preserve"> jaudai.</w:t>
      </w:r>
    </w:p>
    <w:p w14:paraId="220D3C98" w14:textId="77777777" w:rsidR="003C08D4" w:rsidRPr="004C69FA" w:rsidRDefault="003C08D4" w:rsidP="003C08D4">
      <w:pPr>
        <w:pStyle w:val="Sarakstarindkopa"/>
        <w:numPr>
          <w:ilvl w:val="1"/>
          <w:numId w:val="16"/>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 neskar nedz </w:t>
      </w:r>
      <w:proofErr w:type="spellStart"/>
      <w:r w:rsidRPr="004C69FA">
        <w:rPr>
          <w:rFonts w:ascii="Times New Roman" w:eastAsia="Times New Roman" w:hAnsi="Times New Roman" w:cs="Times New Roman"/>
          <w:sz w:val="22"/>
          <w:szCs w:val="22"/>
          <w:lang w:bidi="lv-LV"/>
        </w:rPr>
        <w:t>starpzonu</w:t>
      </w:r>
      <w:proofErr w:type="spellEnd"/>
      <w:r w:rsidRPr="004C69FA">
        <w:rPr>
          <w:rFonts w:ascii="Times New Roman" w:eastAsia="Times New Roman" w:hAnsi="Times New Roman" w:cs="Times New Roman"/>
          <w:sz w:val="22"/>
          <w:szCs w:val="22"/>
          <w:lang w:bidi="lv-LV"/>
        </w:rPr>
        <w:t xml:space="preserve"> jaudas nodrošināšanu, nedz tās piešķiršanu.</w:t>
      </w:r>
    </w:p>
    <w:p w14:paraId="70DA5228" w14:textId="77777777" w:rsidR="003C08D4" w:rsidRDefault="003C08D4" w:rsidP="003C08D4">
      <w:pPr>
        <w:jc w:val="both"/>
        <w:rPr>
          <w:rFonts w:ascii="Times New Roman" w:hAnsi="Times New Roman" w:cs="Times New Roman"/>
          <w:sz w:val="22"/>
          <w:szCs w:val="22"/>
        </w:rPr>
      </w:pPr>
      <w:bookmarkStart w:id="4" w:name="bookmark3"/>
    </w:p>
    <w:bookmarkEnd w:id="4"/>
    <w:p w14:paraId="028EB88E" w14:textId="04004309" w:rsidR="003C08D4" w:rsidRPr="004C69FA" w:rsidRDefault="003C08D4" w:rsidP="003C08D4">
      <w:pPr>
        <w:jc w:val="both"/>
        <w:rPr>
          <w:rFonts w:ascii="Times New Roman" w:hAnsi="Times New Roman" w:cs="Times New Roman"/>
          <w:sz w:val="20"/>
          <w:szCs w:val="22"/>
        </w:rPr>
      </w:pPr>
      <w:r w:rsidRPr="004C69FA">
        <w:rPr>
          <w:rFonts w:ascii="Times New Roman" w:eastAsia="Times New Roman" w:hAnsi="Times New Roman" w:cs="Times New Roman"/>
          <w:sz w:val="20"/>
          <w:szCs w:val="22"/>
          <w:lang w:bidi="lv-LV"/>
        </w:rPr>
        <w:t xml:space="preserve">IESNIEDZ ŠĀDU </w:t>
      </w:r>
      <w:r w:rsidRPr="004C69FA">
        <w:rPr>
          <w:rFonts w:ascii="Times New Roman" w:eastAsia="Times New Roman" w:hAnsi="Times New Roman" w:cs="Times New Roman"/>
          <w:i/>
          <w:sz w:val="20"/>
          <w:szCs w:val="22"/>
          <w:lang w:bidi="lv-LV"/>
        </w:rPr>
        <w:t>ID SEC</w:t>
      </w:r>
      <w:r w:rsidRPr="004C69FA">
        <w:rPr>
          <w:rFonts w:ascii="Times New Roman" w:eastAsia="Times New Roman" w:hAnsi="Times New Roman" w:cs="Times New Roman"/>
          <w:sz w:val="20"/>
          <w:szCs w:val="22"/>
          <w:lang w:bidi="lv-LV"/>
        </w:rPr>
        <w:t xml:space="preserve"> METODIKU VISĀM REGULATĪVAJĀM IESTĀDĒM:</w:t>
      </w:r>
    </w:p>
    <w:p w14:paraId="384AC1FB" w14:textId="77777777" w:rsidR="003C08D4" w:rsidRDefault="003C08D4" w:rsidP="003C08D4">
      <w:pPr>
        <w:jc w:val="both"/>
        <w:rPr>
          <w:rFonts w:ascii="Times New Roman" w:hAnsi="Times New Roman" w:cs="Times New Roman"/>
          <w:sz w:val="22"/>
          <w:szCs w:val="22"/>
        </w:rPr>
      </w:pPr>
      <w:bookmarkStart w:id="5" w:name="bookmark4"/>
      <w:bookmarkStart w:id="6" w:name="bookmark5"/>
    </w:p>
    <w:p w14:paraId="27007BFA" w14:textId="77777777" w:rsidR="003C08D4" w:rsidRPr="004C69FA" w:rsidRDefault="003C08D4" w:rsidP="003C08D4">
      <w:pPr>
        <w:pStyle w:val="Heading10"/>
        <w:keepNext/>
        <w:keepLines/>
        <w:shd w:val="clear" w:color="auto" w:fill="auto"/>
        <w:spacing w:after="280"/>
      </w:pPr>
      <w:bookmarkStart w:id="7" w:name="_Toc346479"/>
      <w:r w:rsidRPr="004C69FA">
        <w:rPr>
          <w:lang w:bidi="lv-LV"/>
        </w:rPr>
        <w:t>1. pants. Priekšmets un piemērošanas joma</w:t>
      </w:r>
      <w:bookmarkEnd w:id="5"/>
      <w:bookmarkEnd w:id="6"/>
      <w:bookmarkEnd w:id="7"/>
    </w:p>
    <w:p w14:paraId="58A0DC5E" w14:textId="77777777" w:rsidR="003C08D4" w:rsidRPr="004C69FA" w:rsidRDefault="003C08D4" w:rsidP="003C08D4">
      <w:pPr>
        <w:pStyle w:val="Sarakstarindkopa"/>
        <w:numPr>
          <w:ilvl w:val="0"/>
          <w:numId w:val="17"/>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Visi PSO šajā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priekšlikumā nosaka prasības no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izrietošās plānotās apmaiņas aprēķināšanai, informāciju, kas ir nepieciešama plānotās apmaiņas aprēķināšanas nolūkos no visiem NETO.</w:t>
      </w:r>
    </w:p>
    <w:p w14:paraId="2E32E4FB" w14:textId="77777777" w:rsidR="003C08D4" w:rsidRDefault="003C08D4" w:rsidP="003C08D4">
      <w:pPr>
        <w:jc w:val="both"/>
        <w:rPr>
          <w:rFonts w:ascii="Times New Roman" w:hAnsi="Times New Roman" w:cs="Times New Roman"/>
          <w:sz w:val="22"/>
          <w:szCs w:val="22"/>
        </w:rPr>
      </w:pPr>
    </w:p>
    <w:p w14:paraId="71873B0F" w14:textId="77777777" w:rsidR="003C08D4" w:rsidRPr="004C69FA" w:rsidRDefault="003C08D4" w:rsidP="003C08D4">
      <w:pPr>
        <w:pStyle w:val="Sarakstarindkopa"/>
        <w:numPr>
          <w:ilvl w:val="0"/>
          <w:numId w:val="17"/>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Piemērotā </w:t>
      </w:r>
      <w:r w:rsidRPr="004C69FA">
        <w:rPr>
          <w:rFonts w:ascii="Times New Roman" w:eastAsia="Times New Roman" w:hAnsi="Times New Roman" w:cs="Times New Roman"/>
          <w:i/>
          <w:sz w:val="22"/>
          <w:szCs w:val="22"/>
          <w:lang w:bidi="lv-LV"/>
        </w:rPr>
        <w:t xml:space="preserve">ID SEC </w:t>
      </w:r>
      <w:r w:rsidRPr="004C69FA">
        <w:rPr>
          <w:rFonts w:ascii="Times New Roman" w:eastAsia="Times New Roman" w:hAnsi="Times New Roman" w:cs="Times New Roman"/>
          <w:sz w:val="22"/>
          <w:szCs w:val="22"/>
          <w:lang w:bidi="lv-LV"/>
        </w:rPr>
        <w:t>metodika radīs šādus iznākumus katrai tirgus laika vienībai:</w:t>
      </w:r>
    </w:p>
    <w:p w14:paraId="6BF1B265" w14:textId="77777777" w:rsidR="003C08D4" w:rsidRDefault="003C08D4" w:rsidP="003C08D4">
      <w:pPr>
        <w:pStyle w:val="Sarakstarindkopa"/>
        <w:numPr>
          <w:ilvl w:val="0"/>
          <w:numId w:val="18"/>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plānoto apmaiņu starp tirdzniecības zonām;</w:t>
      </w:r>
    </w:p>
    <w:p w14:paraId="3255C7F3" w14:textId="77777777" w:rsidR="003C08D4" w:rsidRDefault="003C08D4" w:rsidP="003C08D4">
      <w:pPr>
        <w:pStyle w:val="Sarakstarindkopa"/>
        <w:numPr>
          <w:ilvl w:val="0"/>
          <w:numId w:val="18"/>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plānoto apmaiņu starp grafiku sagatavošanas zonām;</w:t>
      </w:r>
    </w:p>
    <w:p w14:paraId="1FE4877A" w14:textId="77777777" w:rsidR="003C08D4" w:rsidRPr="004C69FA" w:rsidRDefault="003C08D4" w:rsidP="003C08D4">
      <w:pPr>
        <w:pStyle w:val="Sarakstarindkopa"/>
        <w:numPr>
          <w:ilvl w:val="0"/>
          <w:numId w:val="18"/>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plānoto apmaiņu starp NETO tirdzniecības platformām.</w:t>
      </w:r>
    </w:p>
    <w:p w14:paraId="1D2E10C4" w14:textId="77777777" w:rsidR="003C08D4" w:rsidRDefault="003C08D4" w:rsidP="003C08D4">
      <w:pPr>
        <w:jc w:val="both"/>
        <w:rPr>
          <w:rFonts w:ascii="Times New Roman" w:hAnsi="Times New Roman" w:cs="Times New Roman"/>
          <w:sz w:val="22"/>
          <w:szCs w:val="22"/>
        </w:rPr>
      </w:pPr>
    </w:p>
    <w:p w14:paraId="0B45E096" w14:textId="77777777" w:rsidR="003C08D4" w:rsidRDefault="003C08D4" w:rsidP="003C08D4">
      <w:pPr>
        <w:pStyle w:val="Sarakstarindkopa"/>
        <w:numPr>
          <w:ilvl w:val="0"/>
          <w:numId w:val="17"/>
        </w:numPr>
        <w:jc w:val="both"/>
        <w:rPr>
          <w:rFonts w:ascii="Times New Roman" w:hAnsi="Times New Roman" w:cs="Times New Roman"/>
          <w:sz w:val="22"/>
          <w:szCs w:val="22"/>
        </w:rPr>
      </w:pPr>
      <w:r w:rsidRPr="004C69FA">
        <w:rPr>
          <w:rFonts w:ascii="Times New Roman" w:eastAsia="Times New Roman" w:hAnsi="Times New Roman" w:cs="Times New Roman"/>
          <w:i/>
          <w:sz w:val="22"/>
          <w:szCs w:val="22"/>
          <w:lang w:bidi="lv-LV"/>
        </w:rPr>
        <w:t xml:space="preserve">ID SEC </w:t>
      </w:r>
      <w:r w:rsidRPr="004C69FA">
        <w:rPr>
          <w:rFonts w:ascii="Times New Roman" w:eastAsia="Times New Roman" w:hAnsi="Times New Roman" w:cs="Times New Roman"/>
          <w:sz w:val="22"/>
          <w:szCs w:val="22"/>
          <w:lang w:bidi="lv-LV"/>
        </w:rPr>
        <w:t xml:space="preserve">metodikas piemērošanas joma neiekļauj konkrēto pušu funkciju un pienākumu noteikšanu. Arī konkrēto funkciju un pienākumu pārvaldības ietvars ir ārpus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priekšlikuma piemērošanas jomas. Šos aspektus, ja nepieciešams, nosaka PSO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8. panta 2. punkta g) apakšpunktu.</w:t>
      </w:r>
    </w:p>
    <w:p w14:paraId="12C58282" w14:textId="77777777" w:rsidR="003C08D4" w:rsidRPr="004C69FA" w:rsidRDefault="003C08D4" w:rsidP="003C08D4">
      <w:pPr>
        <w:pStyle w:val="Sarakstarindkopa"/>
        <w:jc w:val="both"/>
        <w:rPr>
          <w:rFonts w:ascii="Times New Roman" w:hAnsi="Times New Roman" w:cs="Times New Roman"/>
          <w:sz w:val="22"/>
          <w:szCs w:val="22"/>
        </w:rPr>
      </w:pPr>
    </w:p>
    <w:p w14:paraId="3E2C688E" w14:textId="77777777" w:rsidR="003C08D4" w:rsidRPr="004C69FA" w:rsidRDefault="003C08D4" w:rsidP="003C08D4">
      <w:pPr>
        <w:pStyle w:val="Heading10"/>
        <w:keepNext/>
        <w:keepLines/>
        <w:shd w:val="clear" w:color="auto" w:fill="auto"/>
        <w:spacing w:after="280"/>
      </w:pPr>
      <w:bookmarkStart w:id="8" w:name="bookmark6"/>
      <w:bookmarkStart w:id="9" w:name="bookmark7"/>
      <w:bookmarkStart w:id="10" w:name="_Toc346480"/>
      <w:r w:rsidRPr="004C69FA">
        <w:rPr>
          <w:lang w:bidi="lv-LV"/>
        </w:rPr>
        <w:t>2. pants. Definīcijas un interpretācija</w:t>
      </w:r>
      <w:bookmarkEnd w:id="8"/>
      <w:bookmarkEnd w:id="9"/>
      <w:bookmarkEnd w:id="10"/>
    </w:p>
    <w:p w14:paraId="48B3D352" w14:textId="23762400" w:rsidR="003C08D4" w:rsidRPr="004C69FA" w:rsidRDefault="003C08D4" w:rsidP="003C08D4">
      <w:pPr>
        <w:pStyle w:val="Sarakstarindkopa"/>
        <w:numPr>
          <w:ilvl w:val="0"/>
          <w:numId w:val="19"/>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Šajā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priekšlikumā lietotos terminus lieto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2. pantā, Komisijas Regulās (ES) Nr. 543/2013 un (ES) 1227/2011, kā arī Regulas (ES) Nr. 2017/1485 3. pantā tiem piešķirtajās nozīmēs, izņemot "grafiku sagatavošanas zonas" definīciju. Papildus piemēro arī šādas definīcijas:</w:t>
      </w:r>
    </w:p>
    <w:p w14:paraId="35BED26C" w14:textId="77777777" w:rsidR="003C08D4" w:rsidRDefault="003C08D4" w:rsidP="003C08D4">
      <w:pPr>
        <w:jc w:val="both"/>
        <w:rPr>
          <w:rFonts w:ascii="Times New Roman" w:hAnsi="Times New Roman" w:cs="Times New Roman"/>
          <w:sz w:val="22"/>
          <w:szCs w:val="22"/>
        </w:rPr>
      </w:pPr>
    </w:p>
    <w:p w14:paraId="749B46B5" w14:textId="6045D723" w:rsidR="003C08D4" w:rsidRDefault="003C08D4" w:rsidP="003C08D4">
      <w:pPr>
        <w:pStyle w:val="Sarakstarindkopa"/>
        <w:numPr>
          <w:ilvl w:val="0"/>
          <w:numId w:val="20"/>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"NETO tirdzniecības platforma" – terminu lieto nozīmē, kas tam ir piešķirta noteikumos un nosacījumos vai metodikās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37. un 45. pantu;</w:t>
      </w:r>
    </w:p>
    <w:p w14:paraId="03F486EB" w14:textId="3A5D9504" w:rsidR="003C08D4" w:rsidRDefault="003C08D4" w:rsidP="003C08D4">
      <w:pPr>
        <w:pStyle w:val="Sarakstarindkopa"/>
        <w:numPr>
          <w:ilvl w:val="0"/>
          <w:numId w:val="20"/>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"Grafiku sagatavošanas zona" – grafiku sagatavošanas zona saskaņā ar Regulas (ES) Nr. 2017/1485 3. panta 2.punkta 91) apakšpunktu ar vismaz vienu NETO tirdzniecības platformu;</w:t>
      </w:r>
    </w:p>
    <w:p w14:paraId="56E88DE8" w14:textId="5E27DD31" w:rsidR="003C08D4" w:rsidRPr="004C69FA" w:rsidRDefault="003C08D4" w:rsidP="003C08D4">
      <w:pPr>
        <w:pStyle w:val="Sarakstarindkopa"/>
        <w:numPr>
          <w:ilvl w:val="0"/>
          <w:numId w:val="20"/>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"Plānotā apmaiņa starp NETO tirdzniecības platformām" ir "plānotā elektroenerģijas </w:t>
      </w:r>
      <w:proofErr w:type="spellStart"/>
      <w:r w:rsidRPr="004C69FA">
        <w:rPr>
          <w:rFonts w:ascii="Times New Roman" w:eastAsia="Times New Roman" w:hAnsi="Times New Roman" w:cs="Times New Roman"/>
          <w:sz w:val="22"/>
          <w:szCs w:val="22"/>
          <w:lang w:bidi="lv-LV"/>
        </w:rPr>
        <w:t>pārnese</w:t>
      </w:r>
      <w:proofErr w:type="spellEnd"/>
      <w:r w:rsidRPr="004C69FA">
        <w:rPr>
          <w:rFonts w:ascii="Times New Roman" w:eastAsia="Times New Roman" w:hAnsi="Times New Roman" w:cs="Times New Roman"/>
          <w:sz w:val="22"/>
          <w:szCs w:val="22"/>
          <w:lang w:bidi="lv-LV"/>
        </w:rPr>
        <w:t xml:space="preserve"> starp NETO tirdzniecības platformām, kas darbojas vienā vai vairākās grafiku sagatavošanas zonās vai tirdzniecības zonās", kā definēts </w:t>
      </w:r>
      <w:proofErr w:type="spellStart"/>
      <w:r w:rsidRPr="004C69FA">
        <w:rPr>
          <w:rFonts w:ascii="Times New Roman" w:eastAsia="Times New Roman" w:hAnsi="Times New Roman" w:cs="Times New Roman"/>
          <w:sz w:val="22"/>
          <w:szCs w:val="22"/>
          <w:lang w:bidi="lv-LV"/>
        </w:rPr>
        <w:t>Energoregulatoru</w:t>
      </w:r>
      <w:proofErr w:type="spellEnd"/>
      <w:r w:rsidRPr="004C69FA">
        <w:rPr>
          <w:rFonts w:ascii="Times New Roman" w:eastAsia="Times New Roman" w:hAnsi="Times New Roman" w:cs="Times New Roman"/>
          <w:sz w:val="22"/>
          <w:szCs w:val="22"/>
          <w:lang w:bidi="lv-LV"/>
        </w:rPr>
        <w:t xml:space="preserve"> sadarbības aģentūras </w:t>
      </w:r>
      <w:r w:rsidRPr="004C69FA">
        <w:rPr>
          <w:rFonts w:ascii="Times New Roman" w:eastAsia="Times New Roman" w:hAnsi="Times New Roman" w:cs="Times New Roman"/>
          <w:i/>
          <w:sz w:val="22"/>
          <w:szCs w:val="22"/>
          <w:lang w:bidi="lv-LV"/>
        </w:rPr>
        <w:t>(ACER)</w:t>
      </w:r>
      <w:r w:rsidRPr="004C69FA">
        <w:rPr>
          <w:rFonts w:ascii="Times New Roman" w:eastAsia="Times New Roman" w:hAnsi="Times New Roman" w:cs="Times New Roman"/>
          <w:sz w:val="22"/>
          <w:szCs w:val="22"/>
          <w:lang w:bidi="lv-LV"/>
        </w:rPr>
        <w:t xml:space="preserve"> Lēmumā Nr. 08/2018 par visu NETO priekšlikumu par cenas sasaistīšanas algoritmu un nepārtrauktas tirdzniecības savietošanas algoritmu.</w:t>
      </w:r>
    </w:p>
    <w:p w14:paraId="3298E163" w14:textId="77777777" w:rsidR="003C08D4" w:rsidRDefault="003C08D4" w:rsidP="003C08D4">
      <w:pPr>
        <w:jc w:val="both"/>
        <w:rPr>
          <w:rFonts w:ascii="Times New Roman" w:hAnsi="Times New Roman" w:cs="Times New Roman"/>
          <w:sz w:val="22"/>
          <w:szCs w:val="22"/>
        </w:rPr>
      </w:pPr>
    </w:p>
    <w:p w14:paraId="2E0B6038" w14:textId="06A58C7B" w:rsidR="003C08D4" w:rsidRPr="004C69FA" w:rsidRDefault="003C08D4" w:rsidP="003C08D4">
      <w:pPr>
        <w:pStyle w:val="Sarakstarindkopa"/>
        <w:numPr>
          <w:ilvl w:val="0"/>
          <w:numId w:val="19"/>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Termins "plānotā apmaiņa" ir definēts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2. pantā. </w:t>
      </w:r>
      <w:r w:rsidRPr="004C69FA">
        <w:rPr>
          <w:rFonts w:ascii="Times New Roman" w:eastAsia="Times New Roman" w:hAnsi="Times New Roman" w:cs="Times New Roman"/>
          <w:i/>
          <w:sz w:val="22"/>
          <w:szCs w:val="22"/>
          <w:lang w:bidi="lv-LV"/>
        </w:rPr>
        <w:t xml:space="preserve">ID SEC </w:t>
      </w:r>
      <w:r w:rsidRPr="004C69FA">
        <w:rPr>
          <w:rFonts w:ascii="Times New Roman" w:eastAsia="Times New Roman" w:hAnsi="Times New Roman" w:cs="Times New Roman"/>
          <w:sz w:val="22"/>
          <w:szCs w:val="22"/>
          <w:lang w:bidi="lv-LV"/>
        </w:rPr>
        <w:t xml:space="preserve">priekšlikuma izpratnē, termins "ģeogrāfiskais apgabals" iekļauj gan grafiku sagatavošanas zonu, gan tirdzniecības zonu. Jēdziens "NETO tirdzniecības platforma" ir nepieciešams, lai nodrošinātu </w:t>
      </w:r>
      <w:proofErr w:type="spellStart"/>
      <w:r w:rsidRPr="004C69FA">
        <w:rPr>
          <w:rFonts w:ascii="Times New Roman" w:eastAsia="Times New Roman" w:hAnsi="Times New Roman" w:cs="Times New Roman"/>
          <w:sz w:val="22"/>
          <w:szCs w:val="22"/>
          <w:lang w:bidi="lv-LV"/>
        </w:rPr>
        <w:t>pēcpārdošanas</w:t>
      </w:r>
      <w:proofErr w:type="spellEnd"/>
      <w:r w:rsidRPr="004C69FA">
        <w:rPr>
          <w:rFonts w:ascii="Times New Roman" w:eastAsia="Times New Roman" w:hAnsi="Times New Roman" w:cs="Times New Roman"/>
          <w:sz w:val="22"/>
          <w:szCs w:val="22"/>
          <w:lang w:bidi="lv-LV"/>
        </w:rPr>
        <w:t xml:space="preserve"> tirgus sasaistīšanas procesu pienācīgu funkcionēšanu klīringa un norēķinu pasākumos, kur vienā tirdzniecības zonā vai grafiku sagatavošanas zonā darbojas vairāki NETO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45. pantā noteiktajām prasībām.</w:t>
      </w:r>
    </w:p>
    <w:p w14:paraId="0577023D" w14:textId="77777777" w:rsidR="003C08D4" w:rsidRDefault="003C08D4" w:rsidP="003C08D4">
      <w:pPr>
        <w:jc w:val="both"/>
        <w:rPr>
          <w:rFonts w:ascii="Times New Roman" w:hAnsi="Times New Roman" w:cs="Times New Roman"/>
          <w:sz w:val="22"/>
          <w:szCs w:val="22"/>
        </w:rPr>
      </w:pPr>
    </w:p>
    <w:p w14:paraId="419D92FC" w14:textId="77777777" w:rsidR="003C08D4" w:rsidRPr="004C69FA" w:rsidRDefault="003C08D4" w:rsidP="003C08D4">
      <w:pPr>
        <w:pStyle w:val="Sarakstarindkopa"/>
        <w:numPr>
          <w:ilvl w:val="0"/>
          <w:numId w:val="19"/>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lastRenderedPageBreak/>
        <w:t xml:space="preserve">Šajā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Priekšlikumā, ja vien no konteksta neizriet citādi:</w:t>
      </w:r>
    </w:p>
    <w:p w14:paraId="551CA98F" w14:textId="77777777" w:rsidR="003C08D4" w:rsidRDefault="003C08D4" w:rsidP="003C08D4">
      <w:pPr>
        <w:pStyle w:val="Sarakstarindkopa"/>
        <w:numPr>
          <w:ilvl w:val="0"/>
          <w:numId w:val="21"/>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lietotos terminus piemēro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kontekstā;</w:t>
      </w:r>
    </w:p>
    <w:p w14:paraId="47A1AEE3" w14:textId="77777777" w:rsidR="003C08D4" w:rsidRDefault="003C08D4" w:rsidP="003C08D4">
      <w:pPr>
        <w:pStyle w:val="Sarakstarindkopa"/>
        <w:numPr>
          <w:ilvl w:val="0"/>
          <w:numId w:val="21"/>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saturs un virsraksti ir paredzēti tikai ērtākai lietošanai un neietekmē šīs metodikas interpretāciju; un</w:t>
      </w:r>
    </w:p>
    <w:p w14:paraId="20BF0F70" w14:textId="05BB93C6" w:rsidR="003C08D4" w:rsidRDefault="003C08D4" w:rsidP="003C08D4">
      <w:pPr>
        <w:pStyle w:val="Sarakstarindkopa"/>
        <w:numPr>
          <w:ilvl w:val="0"/>
          <w:numId w:val="21"/>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jebkāda atsauce uz tiesību aktiem, regulām, direktīvu, rīkojumu, tiesību instrumentu, kodeksu vai jebkādu citu normatīvo aktu iekļauj arī jebkurus tā grozījumus, paplašinājumus vai atkārtotu ieviešanu, kas ir spēkā attiecīgajā laikā.</w:t>
      </w:r>
    </w:p>
    <w:p w14:paraId="0820D7B8" w14:textId="77777777" w:rsidR="00CB2771" w:rsidRPr="00CB2771" w:rsidRDefault="00CB2771" w:rsidP="00CB2771">
      <w:pPr>
        <w:ind w:left="360"/>
        <w:jc w:val="both"/>
        <w:rPr>
          <w:rFonts w:ascii="Times New Roman" w:hAnsi="Times New Roman" w:cs="Times New Roman"/>
          <w:sz w:val="22"/>
          <w:szCs w:val="22"/>
        </w:rPr>
      </w:pPr>
    </w:p>
    <w:p w14:paraId="5CBFEE6A" w14:textId="77777777" w:rsidR="003C08D4" w:rsidRPr="004C69FA" w:rsidRDefault="003C08D4" w:rsidP="003C08D4">
      <w:pPr>
        <w:pStyle w:val="Heading10"/>
        <w:keepNext/>
        <w:keepLines/>
        <w:shd w:val="clear" w:color="auto" w:fill="auto"/>
        <w:spacing w:after="280"/>
      </w:pPr>
      <w:bookmarkStart w:id="11" w:name="bookmark10"/>
      <w:bookmarkStart w:id="12" w:name="bookmark9"/>
      <w:bookmarkStart w:id="13" w:name="_Toc346481"/>
      <w:r w:rsidRPr="004C69FA">
        <w:rPr>
          <w:lang w:bidi="lv-LV"/>
        </w:rPr>
        <w:t>3. pants. No attiecīgajiem NETO nepieciešamās informācijas saraksts</w:t>
      </w:r>
      <w:bookmarkEnd w:id="11"/>
      <w:bookmarkEnd w:id="12"/>
      <w:bookmarkEnd w:id="13"/>
    </w:p>
    <w:p w14:paraId="4A2A3139" w14:textId="34DD6652" w:rsidR="003C08D4" w:rsidRPr="004C69FA" w:rsidRDefault="003C08D4" w:rsidP="003C08D4">
      <w:pPr>
        <w:pStyle w:val="Sarakstarindkopa"/>
        <w:numPr>
          <w:ilvl w:val="0"/>
          <w:numId w:val="22"/>
        </w:numPr>
        <w:jc w:val="both"/>
        <w:rPr>
          <w:rFonts w:ascii="Times New Roman" w:hAnsi="Times New Roman" w:cs="Times New Roman"/>
          <w:sz w:val="22"/>
          <w:szCs w:val="22"/>
        </w:rPr>
      </w:pPr>
      <w:bookmarkStart w:id="14" w:name="bookmark11"/>
      <w:r w:rsidRPr="004C69FA">
        <w:rPr>
          <w:rFonts w:ascii="Times New Roman" w:eastAsia="Times New Roman" w:hAnsi="Times New Roman" w:cs="Times New Roman"/>
          <w:sz w:val="22"/>
          <w:szCs w:val="22"/>
          <w:lang w:bidi="lv-LV"/>
        </w:rPr>
        <w:t xml:space="preserve">Plānotās apmaiņas aprēķināšana veidos nepārtrauktas tirdzniecības savietošanas algoritma neatņemamu daļu saskaņā ar algoritma metodiku. Līdz ar to plānotās apmaiņas aprēķinātājs ņem vērā nepārtrauktas tirdzniecības savietošanas algoritma metodikā noteiktās prasības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37. panta 5. punktu.</w:t>
      </w:r>
      <w:bookmarkEnd w:id="14"/>
    </w:p>
    <w:p w14:paraId="4FAF33F1" w14:textId="77777777" w:rsidR="003C08D4" w:rsidRDefault="003C08D4" w:rsidP="003C08D4">
      <w:pPr>
        <w:jc w:val="both"/>
        <w:rPr>
          <w:rFonts w:ascii="Times New Roman" w:hAnsi="Times New Roman" w:cs="Times New Roman"/>
          <w:sz w:val="22"/>
          <w:szCs w:val="22"/>
        </w:rPr>
      </w:pPr>
    </w:p>
    <w:p w14:paraId="0F689565" w14:textId="3DD847F4" w:rsidR="003C08D4" w:rsidRPr="004C69FA" w:rsidRDefault="003C08D4" w:rsidP="003C08D4">
      <w:pPr>
        <w:pStyle w:val="Sarakstarindkopa"/>
        <w:numPr>
          <w:ilvl w:val="0"/>
          <w:numId w:val="22"/>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Visi NETO nodrošina šādas no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izrietošas informācijas sniegšanu, ievērojot algoritma metodiku un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43. panta 2. punktu, visiem PSO par katru tirgus laika vienību:</w:t>
      </w:r>
    </w:p>
    <w:p w14:paraId="3A380C4C" w14:textId="77777777" w:rsidR="003C08D4" w:rsidRDefault="003C08D4" w:rsidP="003C08D4">
      <w:pPr>
        <w:pStyle w:val="Sarakstarindkopa"/>
        <w:numPr>
          <w:ilvl w:val="0"/>
          <w:numId w:val="23"/>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plānotā apmaiņa katras tirdzniecības zonas robežai, starp grafiku sagatavošanas zonām un starp NETO tirdzniecības platformām;</w:t>
      </w:r>
    </w:p>
    <w:p w14:paraId="133C99D3" w14:textId="56CE9288" w:rsidR="003C08D4" w:rsidRDefault="003C08D4" w:rsidP="003C08D4">
      <w:pPr>
        <w:pStyle w:val="Sarakstarindkopa"/>
        <w:numPr>
          <w:ilvl w:val="0"/>
          <w:numId w:val="23"/>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ja nepieciešams, plānotā apmaiņa uz un no atsevišķiem attiecīgiem līdzstrāvas </w:t>
      </w:r>
      <w:proofErr w:type="spellStart"/>
      <w:r w:rsidRPr="004C69FA">
        <w:rPr>
          <w:rFonts w:ascii="Times New Roman" w:eastAsia="Times New Roman" w:hAnsi="Times New Roman" w:cs="Times New Roman"/>
          <w:sz w:val="22"/>
          <w:szCs w:val="22"/>
          <w:lang w:bidi="lv-LV"/>
        </w:rPr>
        <w:t>starpsavienotājiem</w:t>
      </w:r>
      <w:proofErr w:type="spellEnd"/>
      <w:r w:rsidRPr="004C69FA">
        <w:rPr>
          <w:rFonts w:ascii="Times New Roman" w:eastAsia="Times New Roman" w:hAnsi="Times New Roman" w:cs="Times New Roman"/>
          <w:sz w:val="22"/>
          <w:szCs w:val="22"/>
          <w:lang w:bidi="lv-LV"/>
        </w:rPr>
        <w:t xml:space="preserve"> (starpība starp ienākošo/izejošo plānoto apmaiņu, ja nepieciešams, atspoguļojot zudumus)</w:t>
      </w:r>
      <w:r w:rsidR="00321DBD">
        <w:rPr>
          <w:rFonts w:ascii="Times New Roman" w:eastAsia="Times New Roman" w:hAnsi="Times New Roman" w:cs="Times New Roman"/>
          <w:sz w:val="22"/>
          <w:szCs w:val="22"/>
          <w:lang w:bidi="lv-LV"/>
        </w:rPr>
        <w:t>;</w:t>
      </w:r>
    </w:p>
    <w:p w14:paraId="16E601CE" w14:textId="77777777" w:rsidR="003C08D4" w:rsidRDefault="003C08D4" w:rsidP="003C08D4">
      <w:pPr>
        <w:pStyle w:val="Sarakstarindkopa"/>
        <w:numPr>
          <w:ilvl w:val="0"/>
          <w:numId w:val="23"/>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pasūtījumu izpildes statuss un katra tirdzniecības darījuma cenas; un</w:t>
      </w:r>
    </w:p>
    <w:p w14:paraId="10E000A0" w14:textId="77777777" w:rsidR="003C08D4" w:rsidRDefault="003C08D4" w:rsidP="003C08D4">
      <w:pPr>
        <w:pStyle w:val="Sarakstarindkopa"/>
        <w:numPr>
          <w:ilvl w:val="0"/>
          <w:numId w:val="23"/>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vienotā neto pozīcija katrai tirdzniecības zonai, kas piedalās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un katrai tirgus laika vienībai </w:t>
      </w:r>
      <w:r w:rsidRPr="004C69FA">
        <w:rPr>
          <w:rFonts w:ascii="Times New Roman" w:eastAsia="Times New Roman" w:hAnsi="Times New Roman" w:cs="Times New Roman"/>
          <w:i/>
          <w:sz w:val="22"/>
          <w:szCs w:val="22"/>
          <w:lang w:bidi="lv-LV"/>
        </w:rPr>
        <w:t xml:space="preserve">(MTU – </w:t>
      </w:r>
      <w:proofErr w:type="spellStart"/>
      <w:r w:rsidRPr="004C69FA">
        <w:rPr>
          <w:rFonts w:ascii="Times New Roman" w:eastAsia="Times New Roman" w:hAnsi="Times New Roman" w:cs="Times New Roman"/>
          <w:i/>
          <w:sz w:val="22"/>
          <w:szCs w:val="22"/>
          <w:lang w:bidi="lv-LV"/>
        </w:rPr>
        <w:t>market</w:t>
      </w:r>
      <w:proofErr w:type="spellEnd"/>
      <w:r w:rsidRPr="004C69FA">
        <w:rPr>
          <w:rFonts w:ascii="Times New Roman" w:eastAsia="Times New Roman" w:hAnsi="Times New Roman" w:cs="Times New Roman"/>
          <w:i/>
          <w:sz w:val="22"/>
          <w:szCs w:val="22"/>
          <w:lang w:bidi="lv-LV"/>
        </w:rPr>
        <w:t xml:space="preserve"> </w:t>
      </w:r>
      <w:proofErr w:type="spellStart"/>
      <w:r w:rsidRPr="004C69FA">
        <w:rPr>
          <w:rFonts w:ascii="Times New Roman" w:eastAsia="Times New Roman" w:hAnsi="Times New Roman" w:cs="Times New Roman"/>
          <w:i/>
          <w:sz w:val="22"/>
          <w:szCs w:val="22"/>
          <w:lang w:bidi="lv-LV"/>
        </w:rPr>
        <w:t>time</w:t>
      </w:r>
      <w:proofErr w:type="spellEnd"/>
      <w:r w:rsidRPr="004C69FA">
        <w:rPr>
          <w:rFonts w:ascii="Times New Roman" w:eastAsia="Times New Roman" w:hAnsi="Times New Roman" w:cs="Times New Roman"/>
          <w:i/>
          <w:sz w:val="22"/>
          <w:szCs w:val="22"/>
          <w:lang w:bidi="lv-LV"/>
        </w:rPr>
        <w:t xml:space="preserve"> </w:t>
      </w:r>
      <w:proofErr w:type="spellStart"/>
      <w:r w:rsidRPr="004C69FA">
        <w:rPr>
          <w:rFonts w:ascii="Times New Roman" w:eastAsia="Times New Roman" w:hAnsi="Times New Roman" w:cs="Times New Roman"/>
          <w:i/>
          <w:sz w:val="22"/>
          <w:szCs w:val="22"/>
          <w:lang w:bidi="lv-LV"/>
        </w:rPr>
        <w:t>unit</w:t>
      </w:r>
      <w:proofErr w:type="spellEnd"/>
      <w:r w:rsidRPr="004C69FA">
        <w:rPr>
          <w:rFonts w:ascii="Times New Roman" w:eastAsia="Times New Roman" w:hAnsi="Times New Roman" w:cs="Times New Roman"/>
          <w:i/>
          <w:sz w:val="22"/>
          <w:szCs w:val="22"/>
          <w:lang w:bidi="lv-LV"/>
        </w:rPr>
        <w:t>)</w:t>
      </w:r>
      <w:r w:rsidRPr="004C69FA">
        <w:rPr>
          <w:rFonts w:ascii="Times New Roman" w:eastAsia="Times New Roman" w:hAnsi="Times New Roman" w:cs="Times New Roman"/>
          <w:sz w:val="22"/>
          <w:szCs w:val="22"/>
          <w:lang w:bidi="lv-LV"/>
        </w:rPr>
        <w:t>.</w:t>
      </w:r>
    </w:p>
    <w:p w14:paraId="7C84A3DB" w14:textId="77777777" w:rsidR="003C08D4" w:rsidRPr="004C69FA" w:rsidRDefault="003C08D4" w:rsidP="003C08D4">
      <w:pPr>
        <w:pStyle w:val="Sarakstarindkopa"/>
        <w:jc w:val="both"/>
        <w:rPr>
          <w:rFonts w:ascii="Times New Roman" w:hAnsi="Times New Roman" w:cs="Times New Roman"/>
          <w:sz w:val="22"/>
          <w:szCs w:val="22"/>
        </w:rPr>
      </w:pPr>
    </w:p>
    <w:p w14:paraId="078F0F6F" w14:textId="49F7CEB3" w:rsidR="003C08D4" w:rsidRPr="004C69FA" w:rsidRDefault="003C08D4" w:rsidP="003C08D4">
      <w:pPr>
        <w:pStyle w:val="Heading10"/>
        <w:keepNext/>
        <w:keepLines/>
        <w:shd w:val="clear" w:color="auto" w:fill="auto"/>
        <w:spacing w:after="280"/>
      </w:pPr>
      <w:bookmarkStart w:id="15" w:name="bookmark13"/>
      <w:bookmarkStart w:id="16" w:name="bookmark14"/>
      <w:bookmarkStart w:id="17" w:name="bookmark12"/>
      <w:bookmarkStart w:id="18" w:name="_Toc346482"/>
      <w:r w:rsidRPr="004C69FA">
        <w:rPr>
          <w:lang w:bidi="lv-LV"/>
        </w:rPr>
        <w:t>4. pants. Plānotās apmaiņas aprēķināšana starp tirdzniecības zonām, grafiku sagatavošanas zonām un NETO tirdzniecības platformām</w:t>
      </w:r>
      <w:bookmarkEnd w:id="15"/>
      <w:bookmarkEnd w:id="16"/>
      <w:bookmarkEnd w:id="17"/>
      <w:bookmarkEnd w:id="18"/>
    </w:p>
    <w:p w14:paraId="164FC701" w14:textId="77777777" w:rsidR="003C08D4" w:rsidRPr="004C69FA" w:rsidRDefault="003C08D4" w:rsidP="003C08D4">
      <w:pPr>
        <w:pStyle w:val="Sarakstarindkopa"/>
        <w:numPr>
          <w:ilvl w:val="0"/>
          <w:numId w:val="24"/>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Plānoto apmaiņu starp NETO tirdzniecības platformām iesniedz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rezultātā visu apkopoto tirdzniecības darījumu veidā, kas ir noslēgti starp NETO tirdzniecības platformām tirdzniecības zonu robežās un grafiku sagatavošanas zonu robežās.</w:t>
      </w:r>
    </w:p>
    <w:p w14:paraId="0D923540" w14:textId="77777777" w:rsidR="003C08D4" w:rsidRDefault="003C08D4" w:rsidP="003C08D4">
      <w:pPr>
        <w:jc w:val="both"/>
        <w:rPr>
          <w:rFonts w:ascii="Times New Roman" w:hAnsi="Times New Roman" w:cs="Times New Roman"/>
          <w:sz w:val="22"/>
          <w:szCs w:val="22"/>
        </w:rPr>
      </w:pPr>
    </w:p>
    <w:p w14:paraId="3D11A175" w14:textId="0AD285E2" w:rsidR="003C08D4" w:rsidRPr="004B4D62" w:rsidRDefault="003C08D4" w:rsidP="004B4D62">
      <w:pPr>
        <w:pStyle w:val="Sarakstarindkopa"/>
        <w:numPr>
          <w:ilvl w:val="0"/>
          <w:numId w:val="24"/>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Katrā tirdzniecības darījumā, kur devēja un patērētāja zona atrodas dažādās grafiku sagatavošanas zonās, piemēro īsākā ceļa noteikumu. </w:t>
      </w:r>
      <w:r w:rsidR="004B4D62" w:rsidRPr="00822E76">
        <w:rPr>
          <w:rFonts w:ascii="Times New Roman" w:hAnsi="Times New Roman" w:cs="Times New Roman"/>
          <w:sz w:val="22"/>
          <w:szCs w:val="22"/>
        </w:rPr>
        <w:t>Šo ceļu iegūst, samazinot mērķa funkciju, kas ir līdzīga tai, ko izmanto plānotās apmaiņas aprēķināšanas metodikā, kas izriet no vien</w:t>
      </w:r>
      <w:r w:rsidR="004B4D62">
        <w:rPr>
          <w:rFonts w:ascii="Times New Roman" w:hAnsi="Times New Roman" w:cs="Times New Roman"/>
          <w:sz w:val="22"/>
          <w:szCs w:val="22"/>
        </w:rPr>
        <w:t>otas</w:t>
      </w:r>
      <w:r w:rsidR="004B4D62" w:rsidRPr="00822E76">
        <w:rPr>
          <w:rFonts w:ascii="Times New Roman" w:hAnsi="Times New Roman" w:cs="Times New Roman"/>
          <w:sz w:val="22"/>
          <w:szCs w:val="22"/>
        </w:rPr>
        <w:t xml:space="preserve"> </w:t>
      </w:r>
      <w:r w:rsidR="004B4D62">
        <w:rPr>
          <w:rFonts w:ascii="Times New Roman" w:hAnsi="Times New Roman" w:cs="Times New Roman"/>
          <w:sz w:val="22"/>
          <w:szCs w:val="22"/>
        </w:rPr>
        <w:t xml:space="preserve">nākamās </w:t>
      </w:r>
      <w:r w:rsidR="004B4D62" w:rsidRPr="00822E76">
        <w:rPr>
          <w:rFonts w:ascii="Times New Roman" w:hAnsi="Times New Roman" w:cs="Times New Roman"/>
          <w:sz w:val="22"/>
          <w:szCs w:val="22"/>
        </w:rPr>
        <w:t xml:space="preserve">dienas </w:t>
      </w:r>
      <w:r w:rsidR="004B4D62">
        <w:rPr>
          <w:rFonts w:ascii="Times New Roman" w:hAnsi="Times New Roman" w:cs="Times New Roman"/>
          <w:sz w:val="22"/>
          <w:szCs w:val="22"/>
        </w:rPr>
        <w:t>sasaistīšana</w:t>
      </w:r>
      <w:r w:rsidR="004B4D62" w:rsidRPr="00822E76">
        <w:rPr>
          <w:rFonts w:ascii="Times New Roman" w:hAnsi="Times New Roman" w:cs="Times New Roman"/>
          <w:sz w:val="22"/>
          <w:szCs w:val="22"/>
        </w:rPr>
        <w:t xml:space="preserve"> saskaņā ar </w:t>
      </w:r>
      <w:r w:rsidR="004B4D62" w:rsidRPr="00822E76">
        <w:rPr>
          <w:rFonts w:ascii="Times New Roman" w:hAnsi="Times New Roman" w:cs="Times New Roman"/>
          <w:i/>
          <w:sz w:val="22"/>
          <w:szCs w:val="22"/>
        </w:rPr>
        <w:t>CACM</w:t>
      </w:r>
      <w:r w:rsidR="004B4D62" w:rsidRPr="00822E76">
        <w:rPr>
          <w:rFonts w:ascii="Times New Roman" w:hAnsi="Times New Roman" w:cs="Times New Roman"/>
          <w:sz w:val="22"/>
          <w:szCs w:val="22"/>
        </w:rPr>
        <w:t xml:space="preserve"> regulas 43.</w:t>
      </w:r>
      <w:r w:rsidR="00001D85">
        <w:rPr>
          <w:rFonts w:ascii="Times New Roman" w:hAnsi="Times New Roman" w:cs="Times New Roman"/>
          <w:sz w:val="22"/>
          <w:szCs w:val="22"/>
        </w:rPr>
        <w:t> </w:t>
      </w:r>
      <w:bookmarkStart w:id="19" w:name="_GoBack"/>
      <w:bookmarkEnd w:id="19"/>
      <w:r w:rsidR="004B4D62" w:rsidRPr="00822E76">
        <w:rPr>
          <w:rFonts w:ascii="Times New Roman" w:hAnsi="Times New Roman" w:cs="Times New Roman"/>
          <w:sz w:val="22"/>
          <w:szCs w:val="22"/>
        </w:rPr>
        <w:t xml:space="preserve">pantu, un izmaksu koeficienti ir pielāgoti vienotai </w:t>
      </w:r>
      <w:r w:rsidR="004B4D62">
        <w:rPr>
          <w:rFonts w:ascii="Times New Roman" w:hAnsi="Times New Roman" w:cs="Times New Roman"/>
          <w:sz w:val="22"/>
          <w:szCs w:val="22"/>
        </w:rPr>
        <w:t xml:space="preserve">tekošās </w:t>
      </w:r>
      <w:r w:rsidR="004B4D62" w:rsidRPr="00822E76">
        <w:rPr>
          <w:rFonts w:ascii="Times New Roman" w:hAnsi="Times New Roman" w:cs="Times New Roman"/>
          <w:sz w:val="22"/>
          <w:szCs w:val="22"/>
        </w:rPr>
        <w:t xml:space="preserve">dienas </w:t>
      </w:r>
      <w:r w:rsidR="004B4D62">
        <w:rPr>
          <w:rFonts w:ascii="Times New Roman" w:hAnsi="Times New Roman" w:cs="Times New Roman"/>
          <w:sz w:val="22"/>
          <w:szCs w:val="22"/>
        </w:rPr>
        <w:t>sasaistīšanas</w:t>
      </w:r>
      <w:r w:rsidR="004B4D62" w:rsidRPr="00822E76">
        <w:rPr>
          <w:rFonts w:ascii="Times New Roman" w:hAnsi="Times New Roman" w:cs="Times New Roman"/>
          <w:sz w:val="22"/>
          <w:szCs w:val="22"/>
        </w:rPr>
        <w:t xml:space="preserve"> struktūrai.</w:t>
      </w:r>
      <w:r w:rsidR="004B4D62">
        <w:rPr>
          <w:rFonts w:ascii="Times New Roman" w:hAnsi="Times New Roman" w:cs="Times New Roman"/>
          <w:sz w:val="22"/>
          <w:szCs w:val="22"/>
        </w:rPr>
        <w:t xml:space="preserve"> </w:t>
      </w:r>
      <w:r w:rsidRPr="004B4D62">
        <w:rPr>
          <w:rFonts w:ascii="Times New Roman" w:eastAsia="Times New Roman" w:hAnsi="Times New Roman" w:cs="Times New Roman"/>
          <w:sz w:val="22"/>
          <w:szCs w:val="22"/>
          <w:lang w:bidi="lv-LV"/>
        </w:rPr>
        <w:t>Kopumā pārrobežu tirdzniecībai var būt nepieciešams pārvadīt elektroenerģiju, izmantojot vairākus ceļus.</w:t>
      </w:r>
    </w:p>
    <w:p w14:paraId="686BCABC" w14:textId="77777777" w:rsidR="003C08D4" w:rsidRDefault="003C08D4" w:rsidP="003C08D4">
      <w:pPr>
        <w:jc w:val="both"/>
        <w:rPr>
          <w:rFonts w:ascii="Times New Roman" w:hAnsi="Times New Roman" w:cs="Times New Roman"/>
          <w:sz w:val="22"/>
          <w:szCs w:val="22"/>
        </w:rPr>
      </w:pPr>
    </w:p>
    <w:p w14:paraId="0A4D8835" w14:textId="77777777" w:rsidR="003C08D4" w:rsidRPr="004C69FA" w:rsidRDefault="003C08D4" w:rsidP="003C08D4">
      <w:pPr>
        <w:pStyle w:val="Sarakstarindkopa"/>
        <w:numPr>
          <w:ilvl w:val="0"/>
          <w:numId w:val="24"/>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Katrā tirdzniecības darījumā, kur devēja un patērētāja zona atrodas vienā grafiku sagatavošanas zonā, tirdzniecības darījumus slēdz, neietekmējot plānoto apmaiņu starp grafiku sagatavošanas zonām un/vai tirdzniecības zonām.</w:t>
      </w:r>
    </w:p>
    <w:p w14:paraId="5B6F2109" w14:textId="77777777" w:rsidR="003C08D4" w:rsidRDefault="003C08D4" w:rsidP="003C08D4">
      <w:pPr>
        <w:jc w:val="both"/>
        <w:rPr>
          <w:rFonts w:ascii="Times New Roman" w:hAnsi="Times New Roman" w:cs="Times New Roman"/>
          <w:sz w:val="22"/>
          <w:szCs w:val="22"/>
        </w:rPr>
      </w:pPr>
    </w:p>
    <w:p w14:paraId="5153308F" w14:textId="77777777" w:rsidR="003C08D4" w:rsidRPr="004C69FA" w:rsidRDefault="003C08D4" w:rsidP="003C08D4">
      <w:pPr>
        <w:pStyle w:val="Sarakstarindkopa"/>
        <w:numPr>
          <w:ilvl w:val="0"/>
          <w:numId w:val="24"/>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Plānoto apmaiņu starp NETO tirdzniecības platformām apkopo, lai iegūtu precīzu iznākumu nepieciešamajā plānotās apmaiņas līmenī saskaņā ar šīs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metodikas 3. pantu, proti, plānotās apmaiņas līmenī starp tirdzniecības zonām un starp grafiku sagatavošanas zonām.</w:t>
      </w:r>
    </w:p>
    <w:p w14:paraId="7F7AB310" w14:textId="77777777" w:rsidR="003C08D4" w:rsidRDefault="003C08D4" w:rsidP="003C08D4">
      <w:pPr>
        <w:jc w:val="both"/>
        <w:rPr>
          <w:rFonts w:ascii="Times New Roman" w:hAnsi="Times New Roman" w:cs="Times New Roman"/>
          <w:sz w:val="22"/>
          <w:szCs w:val="22"/>
        </w:rPr>
      </w:pPr>
      <w:bookmarkStart w:id="20" w:name="bookmark15"/>
    </w:p>
    <w:p w14:paraId="21347A34" w14:textId="77777777" w:rsidR="003C08D4" w:rsidRPr="004C69FA" w:rsidRDefault="003C08D4" w:rsidP="003C08D4">
      <w:pPr>
        <w:pStyle w:val="Sarakstarindkopa"/>
        <w:numPr>
          <w:ilvl w:val="0"/>
          <w:numId w:val="24"/>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PSO un NETO regulāri, vismaz reizi divos gados, veic </w:t>
      </w:r>
      <w:r w:rsidRPr="004C69FA">
        <w:rPr>
          <w:rFonts w:ascii="Times New Roman" w:eastAsia="Times New Roman" w:hAnsi="Times New Roman" w:cs="Times New Roman"/>
          <w:i/>
          <w:sz w:val="22"/>
          <w:szCs w:val="22"/>
          <w:lang w:bidi="lv-LV"/>
        </w:rPr>
        <w:t>SIDC</w:t>
      </w:r>
      <w:r w:rsidRPr="004C69FA">
        <w:rPr>
          <w:rFonts w:ascii="Times New Roman" w:eastAsia="Times New Roman" w:hAnsi="Times New Roman" w:cs="Times New Roman"/>
          <w:sz w:val="22"/>
          <w:szCs w:val="22"/>
          <w:lang w:bidi="lv-LV"/>
        </w:rPr>
        <w:t xml:space="preserve"> izmantoto izmaksu </w:t>
      </w:r>
      <w:r w:rsidRPr="004C69FA">
        <w:rPr>
          <w:rFonts w:ascii="Times New Roman" w:eastAsia="Times New Roman" w:hAnsi="Times New Roman" w:cs="Times New Roman"/>
          <w:sz w:val="22"/>
          <w:szCs w:val="22"/>
          <w:lang w:bidi="lv-LV"/>
        </w:rPr>
        <w:lastRenderedPageBreak/>
        <w:t>koeficientu pārskatīšanu. Par izmaiņām paziņo valsts regulatīvajām iestādēm.</w:t>
      </w:r>
      <w:bookmarkEnd w:id="20"/>
    </w:p>
    <w:p w14:paraId="7540ED70" w14:textId="77777777" w:rsidR="003C08D4" w:rsidRPr="004C69FA" w:rsidRDefault="003C08D4" w:rsidP="003C08D4">
      <w:pPr>
        <w:pStyle w:val="Heading10"/>
        <w:keepNext/>
        <w:keepLines/>
        <w:shd w:val="clear" w:color="auto" w:fill="auto"/>
        <w:spacing w:after="280"/>
      </w:pPr>
      <w:bookmarkStart w:id="21" w:name="bookmark16"/>
      <w:bookmarkStart w:id="22" w:name="bookmark17"/>
      <w:bookmarkStart w:id="23" w:name="_Toc346483"/>
      <w:r w:rsidRPr="004C69FA">
        <w:rPr>
          <w:lang w:bidi="lv-LV"/>
        </w:rPr>
        <w:t xml:space="preserve">5. pants. </w:t>
      </w:r>
      <w:r w:rsidRPr="004C69FA">
        <w:rPr>
          <w:i/>
          <w:lang w:bidi="lv-LV"/>
        </w:rPr>
        <w:t>ID SEC</w:t>
      </w:r>
      <w:r w:rsidRPr="004C69FA">
        <w:rPr>
          <w:lang w:bidi="lv-LV"/>
        </w:rPr>
        <w:t xml:space="preserve"> metodikas īstenošana</w:t>
      </w:r>
      <w:bookmarkEnd w:id="21"/>
      <w:bookmarkEnd w:id="22"/>
      <w:bookmarkEnd w:id="23"/>
    </w:p>
    <w:p w14:paraId="56E1C5A4" w14:textId="5D267D1D" w:rsidR="003C08D4" w:rsidRPr="00321DBD" w:rsidRDefault="003C08D4" w:rsidP="003C08D4">
      <w:pPr>
        <w:pStyle w:val="Sarakstarindkopa"/>
        <w:numPr>
          <w:ilvl w:val="0"/>
          <w:numId w:val="25"/>
        </w:numPr>
        <w:jc w:val="both"/>
        <w:rPr>
          <w:rFonts w:ascii="Times New Roman" w:hAnsi="Times New Roman" w:cs="Times New Roman"/>
          <w:sz w:val="22"/>
          <w:szCs w:val="22"/>
        </w:rPr>
      </w:pPr>
      <w:bookmarkStart w:id="24" w:name="bookmark18"/>
      <w:bookmarkEnd w:id="24"/>
      <w:r w:rsidRPr="004C69FA">
        <w:rPr>
          <w:rFonts w:ascii="Times New Roman" w:eastAsia="Times New Roman" w:hAnsi="Times New Roman" w:cs="Times New Roman"/>
          <w:sz w:val="22"/>
          <w:szCs w:val="22"/>
          <w:lang w:bidi="lv-LV"/>
        </w:rPr>
        <w:t xml:space="preserve">PSO īsteno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priekšlikumu, kad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7. panta 3. punktu izstrādātā </w:t>
      </w:r>
      <w:r w:rsidR="003038BA">
        <w:rPr>
          <w:rFonts w:ascii="Times New Roman" w:eastAsia="Times New Roman" w:hAnsi="Times New Roman" w:cs="Times New Roman"/>
          <w:sz w:val="22"/>
          <w:szCs w:val="22"/>
          <w:lang w:bidi="lv-LV"/>
        </w:rPr>
        <w:t>tekošās</w:t>
      </w:r>
      <w:r w:rsidR="003038BA" w:rsidRPr="004C69FA">
        <w:rPr>
          <w:rFonts w:ascii="Times New Roman" w:eastAsia="Times New Roman" w:hAnsi="Times New Roman" w:cs="Times New Roman"/>
          <w:sz w:val="22"/>
          <w:szCs w:val="22"/>
          <w:lang w:bidi="lv-LV"/>
        </w:rPr>
        <w:t xml:space="preserve"> </w:t>
      </w:r>
      <w:r w:rsidRPr="004C69FA">
        <w:rPr>
          <w:rFonts w:ascii="Times New Roman" w:eastAsia="Times New Roman" w:hAnsi="Times New Roman" w:cs="Times New Roman"/>
          <w:sz w:val="22"/>
          <w:szCs w:val="22"/>
          <w:lang w:bidi="lv-LV"/>
        </w:rPr>
        <w:t xml:space="preserve">dienas tirgu sasaistīšanas operatora funkcija un, ja nepieciešams, pasākumi, kas attiecas uz vairāk nekā vienu NETO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57. pantu, tiek īstenoti katrā tirdzniecības zonā un tās robežās.</w:t>
      </w:r>
    </w:p>
    <w:p w14:paraId="00DC05E9" w14:textId="3448A09C" w:rsidR="00321DBD" w:rsidRDefault="00321DBD" w:rsidP="00321DBD">
      <w:pPr>
        <w:jc w:val="both"/>
        <w:rPr>
          <w:rFonts w:ascii="Times New Roman" w:hAnsi="Times New Roman" w:cs="Times New Roman"/>
          <w:sz w:val="22"/>
          <w:szCs w:val="22"/>
        </w:rPr>
      </w:pPr>
    </w:p>
    <w:p w14:paraId="614652B8" w14:textId="77777777" w:rsidR="00321DBD" w:rsidRPr="00321DBD" w:rsidRDefault="00321DBD" w:rsidP="00321DBD">
      <w:pPr>
        <w:jc w:val="both"/>
        <w:rPr>
          <w:rFonts w:ascii="Times New Roman" w:hAnsi="Times New Roman" w:cs="Times New Roman"/>
          <w:sz w:val="22"/>
          <w:szCs w:val="22"/>
        </w:rPr>
      </w:pPr>
    </w:p>
    <w:p w14:paraId="2E680A68" w14:textId="77777777" w:rsidR="003C08D4" w:rsidRPr="004C69FA" w:rsidRDefault="003C08D4" w:rsidP="003C08D4">
      <w:pPr>
        <w:pStyle w:val="Heading10"/>
        <w:keepNext/>
        <w:keepLines/>
        <w:shd w:val="clear" w:color="auto" w:fill="auto"/>
        <w:spacing w:after="280"/>
      </w:pPr>
      <w:bookmarkStart w:id="25" w:name="bookmark19"/>
      <w:bookmarkStart w:id="26" w:name="bookmark20"/>
      <w:bookmarkStart w:id="27" w:name="_Toc346484"/>
      <w:r w:rsidRPr="004C69FA">
        <w:rPr>
          <w:lang w:bidi="lv-LV"/>
        </w:rPr>
        <w:t>6. pants. Valoda</w:t>
      </w:r>
      <w:bookmarkEnd w:id="25"/>
      <w:bookmarkEnd w:id="26"/>
      <w:bookmarkEnd w:id="27"/>
    </w:p>
    <w:p w14:paraId="68640BD9" w14:textId="01A1FFD9" w:rsidR="003C08D4" w:rsidRPr="004C69FA" w:rsidRDefault="003C08D4" w:rsidP="003C08D4">
      <w:pPr>
        <w:pStyle w:val="Sarakstarindkopa"/>
        <w:numPr>
          <w:ilvl w:val="0"/>
          <w:numId w:val="26"/>
        </w:numPr>
        <w:jc w:val="both"/>
        <w:rPr>
          <w:rFonts w:ascii="Times New Roman" w:hAnsi="Times New Roman" w:cs="Times New Roman"/>
          <w:sz w:val="22"/>
          <w:szCs w:val="22"/>
        </w:rPr>
      </w:pPr>
      <w:r w:rsidRPr="004C69FA">
        <w:rPr>
          <w:rFonts w:ascii="Times New Roman" w:eastAsia="Times New Roman" w:hAnsi="Times New Roman" w:cs="Times New Roman"/>
          <w:sz w:val="22"/>
          <w:szCs w:val="22"/>
          <w:lang w:bidi="lv-LV"/>
        </w:rPr>
        <w:t xml:space="preserve">Šī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priekšlikuma atsauces valoda ir angļu valoda. Lai nepieļautu neskaidrības, ja PSO ir jātulko šis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priekšlikums valsts valodā(-s), neatbilstību gadījumā starp PSO publicēto versiju angļu valodā saskaņā ar </w:t>
      </w:r>
      <w:r w:rsidRPr="004C69FA">
        <w:rPr>
          <w:rFonts w:ascii="Times New Roman" w:eastAsia="Times New Roman" w:hAnsi="Times New Roman" w:cs="Times New Roman"/>
          <w:i/>
          <w:sz w:val="22"/>
          <w:szCs w:val="22"/>
          <w:lang w:bidi="lv-LV"/>
        </w:rPr>
        <w:t>CACM</w:t>
      </w:r>
      <w:r w:rsidRPr="004C69FA">
        <w:rPr>
          <w:rFonts w:ascii="Times New Roman" w:eastAsia="Times New Roman" w:hAnsi="Times New Roman" w:cs="Times New Roman"/>
          <w:sz w:val="22"/>
          <w:szCs w:val="22"/>
          <w:lang w:bidi="lv-LV"/>
        </w:rPr>
        <w:t xml:space="preserve"> regulas 9. panta 14. punktu un jebkuru versiju citā valodā, attiecīgajiem PSO ir pienākums novērst jebkādas neatbilstības, iesniedzot savām attiecīgajām valsts regulatīvajām iestādēm šā </w:t>
      </w:r>
      <w:r w:rsidRPr="004C69FA">
        <w:rPr>
          <w:rFonts w:ascii="Times New Roman" w:eastAsia="Times New Roman" w:hAnsi="Times New Roman" w:cs="Times New Roman"/>
          <w:i/>
          <w:sz w:val="22"/>
          <w:szCs w:val="22"/>
          <w:lang w:bidi="lv-LV"/>
        </w:rPr>
        <w:t>ID SEC</w:t>
      </w:r>
      <w:r w:rsidRPr="004C69FA">
        <w:rPr>
          <w:rFonts w:ascii="Times New Roman" w:eastAsia="Times New Roman" w:hAnsi="Times New Roman" w:cs="Times New Roman"/>
          <w:sz w:val="22"/>
          <w:szCs w:val="22"/>
          <w:lang w:bidi="lv-LV"/>
        </w:rPr>
        <w:t xml:space="preserve"> priekšlikuma pārskatītu tulkojumu.</w:t>
      </w:r>
    </w:p>
    <w:p w14:paraId="002D5F60" w14:textId="7A180479" w:rsidR="00405A1F" w:rsidRPr="00405A1F" w:rsidRDefault="00405A1F" w:rsidP="00405A1F">
      <w:pPr>
        <w:tabs>
          <w:tab w:val="left" w:pos="4650"/>
        </w:tabs>
      </w:pPr>
    </w:p>
    <w:sectPr w:rsidR="00405A1F" w:rsidRPr="00405A1F" w:rsidSect="00405A1F">
      <w:headerReference w:type="default" r:id="rId7"/>
      <w:footerReference w:type="default" r:id="rId8"/>
      <w:headerReference w:type="first" r:id="rId9"/>
      <w:footerReference w:type="first" r:id="rId10"/>
      <w:pgSz w:w="11900" w:h="16840" w:code="9"/>
      <w:pgMar w:top="1440" w:right="1800" w:bottom="1440" w:left="1800" w:header="1260" w:footer="81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092A" w14:textId="77777777" w:rsidR="0023720B" w:rsidRDefault="0023720B">
      <w:r>
        <w:separator/>
      </w:r>
    </w:p>
  </w:endnote>
  <w:endnote w:type="continuationSeparator" w:id="0">
    <w:p w14:paraId="7B73A826" w14:textId="77777777" w:rsidR="0023720B" w:rsidRDefault="0023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660449"/>
      <w:docPartObj>
        <w:docPartGallery w:val="Page Numbers (Bottom of Page)"/>
        <w:docPartUnique/>
      </w:docPartObj>
    </w:sdtPr>
    <w:sdtEndPr>
      <w:rPr>
        <w:noProof/>
      </w:rPr>
    </w:sdtEndPr>
    <w:sdtContent>
      <w:p w14:paraId="02BB2725" w14:textId="1056A753" w:rsidR="00405A1F" w:rsidRDefault="00405A1F">
        <w:pPr>
          <w:pStyle w:val="Kjene"/>
          <w:jc w:val="right"/>
        </w:pPr>
        <w:r>
          <w:rPr>
            <w:lang w:bidi="lv-LV"/>
          </w:rPr>
          <w:fldChar w:fldCharType="begin"/>
        </w:r>
        <w:r>
          <w:rPr>
            <w:lang w:bidi="lv-LV"/>
          </w:rPr>
          <w:instrText xml:space="preserve"> PAGE   \* MERGEFORMAT </w:instrText>
        </w:r>
        <w:r>
          <w:rPr>
            <w:lang w:bidi="lv-LV"/>
          </w:rPr>
          <w:fldChar w:fldCharType="separate"/>
        </w:r>
        <w:r w:rsidR="00810DE8">
          <w:rPr>
            <w:noProof/>
            <w:lang w:bidi="lv-LV"/>
          </w:rPr>
          <w:t>7</w:t>
        </w:r>
        <w:r>
          <w:rPr>
            <w:noProof/>
            <w:lang w:bidi="lv-LV"/>
          </w:rPr>
          <w:fldChar w:fldCharType="end"/>
        </w:r>
      </w:p>
    </w:sdtContent>
  </w:sdt>
  <w:sdt>
    <w:sdtPr>
      <w:rPr>
        <w:rFonts w:ascii="Courier New" w:eastAsia="Courier New" w:hAnsi="Courier New" w:cs="Courier New"/>
        <w:sz w:val="22"/>
        <w:szCs w:val="24"/>
      </w:rPr>
      <w:id w:val="1648243085"/>
      <w:docPartObj>
        <w:docPartGallery w:val="Page Numbers (Bottom of Page)"/>
        <w:docPartUnique/>
      </w:docPartObj>
    </w:sdtPr>
    <w:sdtEndPr>
      <w:rPr>
        <w:rFonts w:ascii="Times New Roman" w:eastAsia="Times New Roman" w:hAnsi="Times New Roman" w:cs="Times New Roman"/>
        <w:noProof/>
        <w:sz w:val="18"/>
        <w:szCs w:val="20"/>
      </w:rPr>
    </w:sdtEndPr>
    <w:sdtContent>
      <w:p w14:paraId="4BFEDC7A" w14:textId="74B06B25" w:rsidR="008A3BFC" w:rsidRPr="00321DBD" w:rsidRDefault="007371DB" w:rsidP="00321DBD">
        <w:pPr>
          <w:pStyle w:val="Headerorfooter20"/>
          <w:shd w:val="clear" w:color="auto" w:fill="auto"/>
          <w:jc w:val="center"/>
          <w:rPr>
            <w:sz w:val="10"/>
            <w:szCs w:val="14"/>
          </w:rPr>
        </w:pPr>
        <w:r w:rsidRPr="00321DBD">
          <w:rPr>
            <w:rFonts w:ascii="Arial" w:eastAsia="Arial" w:hAnsi="Arial" w:cs="Arial"/>
            <w:i/>
            <w:sz w:val="10"/>
            <w:szCs w:val="14"/>
            <w:lang w:bidi="lv-LV"/>
          </w:rPr>
          <w:t>ENTSO-E</w:t>
        </w:r>
        <w:r w:rsidRPr="00321DBD">
          <w:rPr>
            <w:rFonts w:ascii="Arial" w:eastAsia="Arial" w:hAnsi="Arial" w:cs="Arial"/>
            <w:sz w:val="10"/>
            <w:szCs w:val="14"/>
            <w:lang w:bidi="lv-LV"/>
          </w:rPr>
          <w:t xml:space="preserve"> </w:t>
        </w:r>
        <w:r w:rsidRPr="00321DBD">
          <w:rPr>
            <w:rFonts w:ascii="Arial" w:eastAsia="Arial" w:hAnsi="Arial" w:cs="Arial"/>
            <w:sz w:val="6"/>
            <w:szCs w:val="10"/>
            <w:lang w:bidi="lv-LV"/>
          </w:rPr>
          <w:t xml:space="preserve">AISBL </w:t>
        </w:r>
        <w:r w:rsidRPr="00321DBD">
          <w:rPr>
            <w:rFonts w:ascii="Arial" w:eastAsia="Arial" w:hAnsi="Arial" w:cs="Arial"/>
            <w:sz w:val="10"/>
            <w:szCs w:val="14"/>
            <w:lang w:bidi="lv-LV"/>
          </w:rPr>
          <w:t xml:space="preserve">• </w:t>
        </w:r>
        <w:proofErr w:type="spellStart"/>
        <w:r w:rsidRPr="00321DBD">
          <w:rPr>
            <w:rFonts w:ascii="Arial" w:eastAsia="Arial" w:hAnsi="Arial" w:cs="Arial"/>
            <w:i/>
            <w:sz w:val="10"/>
            <w:szCs w:val="14"/>
            <w:lang w:bidi="lv-LV"/>
          </w:rPr>
          <w:t>Avenue</w:t>
        </w:r>
        <w:proofErr w:type="spellEnd"/>
        <w:r w:rsidRPr="00321DBD">
          <w:rPr>
            <w:rFonts w:ascii="Arial" w:eastAsia="Arial" w:hAnsi="Arial" w:cs="Arial"/>
            <w:i/>
            <w:sz w:val="10"/>
            <w:szCs w:val="14"/>
            <w:lang w:bidi="lv-LV"/>
          </w:rPr>
          <w:t xml:space="preserve"> </w:t>
        </w:r>
        <w:proofErr w:type="spellStart"/>
        <w:r w:rsidRPr="00321DBD">
          <w:rPr>
            <w:rFonts w:ascii="Arial" w:eastAsia="Arial" w:hAnsi="Arial" w:cs="Arial"/>
            <w:i/>
            <w:sz w:val="10"/>
            <w:szCs w:val="14"/>
            <w:lang w:bidi="lv-LV"/>
          </w:rPr>
          <w:t>de</w:t>
        </w:r>
        <w:proofErr w:type="spellEnd"/>
        <w:r w:rsidRPr="00321DBD">
          <w:rPr>
            <w:rFonts w:ascii="Arial" w:eastAsia="Arial" w:hAnsi="Arial" w:cs="Arial"/>
            <w:i/>
            <w:sz w:val="10"/>
            <w:szCs w:val="14"/>
            <w:lang w:bidi="lv-LV"/>
          </w:rPr>
          <w:t xml:space="preserve"> </w:t>
        </w:r>
        <w:proofErr w:type="spellStart"/>
        <w:r w:rsidRPr="00321DBD">
          <w:rPr>
            <w:rFonts w:ascii="Arial" w:eastAsia="Arial" w:hAnsi="Arial" w:cs="Arial"/>
            <w:i/>
            <w:sz w:val="10"/>
            <w:szCs w:val="14"/>
            <w:lang w:bidi="lv-LV"/>
          </w:rPr>
          <w:t>Cortenbergh</w:t>
        </w:r>
        <w:proofErr w:type="spellEnd"/>
        <w:r w:rsidRPr="00321DBD">
          <w:rPr>
            <w:rFonts w:ascii="Arial" w:eastAsia="Arial" w:hAnsi="Arial" w:cs="Arial"/>
            <w:sz w:val="10"/>
            <w:szCs w:val="14"/>
            <w:lang w:bidi="lv-LV"/>
          </w:rPr>
          <w:t xml:space="preserve"> 100 • 1000, Brisele </w:t>
        </w:r>
        <w:r w:rsidRPr="00321DBD">
          <w:rPr>
            <w:rFonts w:ascii="Arial" w:eastAsia="Arial" w:hAnsi="Arial" w:cs="Arial"/>
            <w:i/>
            <w:sz w:val="10"/>
            <w:szCs w:val="14"/>
            <w:lang w:bidi="lv-LV"/>
          </w:rPr>
          <w:t>(</w:t>
        </w:r>
        <w:proofErr w:type="spellStart"/>
        <w:r w:rsidRPr="00321DBD">
          <w:rPr>
            <w:rFonts w:ascii="Arial" w:eastAsia="Arial" w:hAnsi="Arial" w:cs="Arial"/>
            <w:i/>
            <w:sz w:val="10"/>
            <w:szCs w:val="14"/>
            <w:lang w:bidi="lv-LV"/>
          </w:rPr>
          <w:t>Brussel</w:t>
        </w:r>
        <w:proofErr w:type="spellEnd"/>
        <w:r w:rsidRPr="00321DBD">
          <w:rPr>
            <w:rFonts w:ascii="Arial" w:eastAsia="Arial" w:hAnsi="Arial" w:cs="Arial"/>
            <w:sz w:val="10"/>
            <w:szCs w:val="14"/>
            <w:lang w:bidi="lv-LV"/>
          </w:rPr>
          <w:t>) • Beļģija • Tālr.: + 32 2 741 09 50 • Fakss: + 32 2 741 09 51 • info@entsoe.eu • www. entsoe.eu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ourier New" w:eastAsia="Courier New" w:hAnsi="Courier New" w:cs="Courier New"/>
        <w:sz w:val="22"/>
        <w:szCs w:val="24"/>
      </w:rPr>
      <w:id w:val="-1810390520"/>
      <w:docPartObj>
        <w:docPartGallery w:val="Page Numbers (Bottom of Page)"/>
        <w:docPartUnique/>
      </w:docPartObj>
    </w:sdtPr>
    <w:sdtEndPr>
      <w:rPr>
        <w:noProof/>
        <w:sz w:val="24"/>
      </w:rPr>
    </w:sdtEndPr>
    <w:sdtContent>
      <w:p w14:paraId="13676CF4" w14:textId="1CE5C774" w:rsidR="00405A1F" w:rsidRPr="00321DBD" w:rsidRDefault="00405A1F" w:rsidP="00321DBD">
        <w:pPr>
          <w:pStyle w:val="Headerorfooter20"/>
          <w:shd w:val="clear" w:color="auto" w:fill="auto"/>
          <w:jc w:val="center"/>
          <w:rPr>
            <w:sz w:val="10"/>
            <w:szCs w:val="14"/>
          </w:rPr>
        </w:pPr>
        <w:r w:rsidRPr="00321DBD">
          <w:rPr>
            <w:rFonts w:ascii="Arial" w:eastAsia="Arial" w:hAnsi="Arial" w:cs="Arial"/>
            <w:i/>
            <w:sz w:val="10"/>
            <w:szCs w:val="14"/>
            <w:lang w:bidi="lv-LV"/>
          </w:rPr>
          <w:t>ENTSO-E</w:t>
        </w:r>
        <w:r w:rsidRPr="00321DBD">
          <w:rPr>
            <w:rFonts w:ascii="Arial" w:eastAsia="Arial" w:hAnsi="Arial" w:cs="Arial"/>
            <w:sz w:val="10"/>
            <w:szCs w:val="14"/>
            <w:lang w:bidi="lv-LV"/>
          </w:rPr>
          <w:t xml:space="preserve"> </w:t>
        </w:r>
        <w:r w:rsidRPr="00321DBD">
          <w:rPr>
            <w:rFonts w:ascii="Arial" w:eastAsia="Arial" w:hAnsi="Arial" w:cs="Arial"/>
            <w:sz w:val="6"/>
            <w:szCs w:val="10"/>
            <w:lang w:bidi="lv-LV"/>
          </w:rPr>
          <w:t xml:space="preserve">AISBL </w:t>
        </w:r>
        <w:r w:rsidRPr="00321DBD">
          <w:rPr>
            <w:rFonts w:ascii="Arial" w:eastAsia="Arial" w:hAnsi="Arial" w:cs="Arial"/>
            <w:sz w:val="10"/>
            <w:szCs w:val="14"/>
            <w:lang w:bidi="lv-LV"/>
          </w:rPr>
          <w:t xml:space="preserve">• </w:t>
        </w:r>
        <w:proofErr w:type="spellStart"/>
        <w:r w:rsidRPr="00321DBD">
          <w:rPr>
            <w:rFonts w:ascii="Arial" w:eastAsia="Arial" w:hAnsi="Arial" w:cs="Arial"/>
            <w:i/>
            <w:sz w:val="10"/>
            <w:szCs w:val="14"/>
            <w:lang w:bidi="lv-LV"/>
          </w:rPr>
          <w:t>Avenue</w:t>
        </w:r>
        <w:proofErr w:type="spellEnd"/>
        <w:r w:rsidRPr="00321DBD">
          <w:rPr>
            <w:rFonts w:ascii="Arial" w:eastAsia="Arial" w:hAnsi="Arial" w:cs="Arial"/>
            <w:i/>
            <w:sz w:val="10"/>
            <w:szCs w:val="14"/>
            <w:lang w:bidi="lv-LV"/>
          </w:rPr>
          <w:t xml:space="preserve"> </w:t>
        </w:r>
        <w:proofErr w:type="spellStart"/>
        <w:r w:rsidRPr="00321DBD">
          <w:rPr>
            <w:rFonts w:ascii="Arial" w:eastAsia="Arial" w:hAnsi="Arial" w:cs="Arial"/>
            <w:i/>
            <w:sz w:val="10"/>
            <w:szCs w:val="14"/>
            <w:lang w:bidi="lv-LV"/>
          </w:rPr>
          <w:t>de</w:t>
        </w:r>
        <w:proofErr w:type="spellEnd"/>
        <w:r w:rsidRPr="00321DBD">
          <w:rPr>
            <w:rFonts w:ascii="Arial" w:eastAsia="Arial" w:hAnsi="Arial" w:cs="Arial"/>
            <w:i/>
            <w:sz w:val="10"/>
            <w:szCs w:val="14"/>
            <w:lang w:bidi="lv-LV"/>
          </w:rPr>
          <w:t xml:space="preserve"> </w:t>
        </w:r>
        <w:proofErr w:type="spellStart"/>
        <w:r w:rsidRPr="00321DBD">
          <w:rPr>
            <w:rFonts w:ascii="Arial" w:eastAsia="Arial" w:hAnsi="Arial" w:cs="Arial"/>
            <w:i/>
            <w:sz w:val="10"/>
            <w:szCs w:val="14"/>
            <w:lang w:bidi="lv-LV"/>
          </w:rPr>
          <w:t>Cortenbergh</w:t>
        </w:r>
        <w:proofErr w:type="spellEnd"/>
        <w:r w:rsidRPr="00321DBD">
          <w:rPr>
            <w:rFonts w:ascii="Arial" w:eastAsia="Arial" w:hAnsi="Arial" w:cs="Arial"/>
            <w:sz w:val="10"/>
            <w:szCs w:val="14"/>
            <w:lang w:bidi="lv-LV"/>
          </w:rPr>
          <w:t xml:space="preserve"> 100 • 1000, Brisele </w:t>
        </w:r>
        <w:r w:rsidRPr="00321DBD">
          <w:rPr>
            <w:rFonts w:ascii="Arial" w:eastAsia="Arial" w:hAnsi="Arial" w:cs="Arial"/>
            <w:i/>
            <w:sz w:val="10"/>
            <w:szCs w:val="14"/>
            <w:lang w:bidi="lv-LV"/>
          </w:rPr>
          <w:t>(</w:t>
        </w:r>
        <w:proofErr w:type="spellStart"/>
        <w:r w:rsidRPr="00321DBD">
          <w:rPr>
            <w:rFonts w:ascii="Arial" w:eastAsia="Arial" w:hAnsi="Arial" w:cs="Arial"/>
            <w:i/>
            <w:sz w:val="10"/>
            <w:szCs w:val="14"/>
            <w:lang w:bidi="lv-LV"/>
          </w:rPr>
          <w:t>Brussel</w:t>
        </w:r>
        <w:proofErr w:type="spellEnd"/>
        <w:r w:rsidRPr="00321DBD">
          <w:rPr>
            <w:rFonts w:ascii="Arial" w:eastAsia="Arial" w:hAnsi="Arial" w:cs="Arial"/>
            <w:sz w:val="10"/>
            <w:szCs w:val="14"/>
            <w:lang w:bidi="lv-LV"/>
          </w:rPr>
          <w:t>) • Beļģija • Tālr.: + 32 2 741 09 50 • Fakss: + 32 2 741 09 51 • info@entsoe.eu • www. entsoe.eu</w:t>
        </w:r>
      </w:p>
      <w:p w14:paraId="446197CA" w14:textId="677B01DB" w:rsidR="00405A1F" w:rsidRPr="00405A1F" w:rsidRDefault="0023720B" w:rsidP="00405A1F">
        <w:pPr>
          <w:pStyle w:val="Kjene"/>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11305" w14:textId="77777777" w:rsidR="0023720B" w:rsidRDefault="0023720B"/>
  </w:footnote>
  <w:footnote w:type="continuationSeparator" w:id="0">
    <w:p w14:paraId="2BD0F7FB" w14:textId="77777777" w:rsidR="0023720B" w:rsidRDefault="00237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eatabul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000"/>
    </w:tblGrid>
    <w:tr w:rsidR="00405A1F" w14:paraId="1A85BD3D" w14:textId="77777777" w:rsidTr="0078685C">
      <w:tc>
        <w:tcPr>
          <w:tcW w:w="6300" w:type="dxa"/>
        </w:tcPr>
        <w:p w14:paraId="52ABA770" w14:textId="426A5308" w:rsidR="00405A1F" w:rsidRPr="00321DBD" w:rsidRDefault="00405A1F" w:rsidP="00405A1F">
          <w:pPr>
            <w:pStyle w:val="Headerorfooter20"/>
            <w:shd w:val="clear" w:color="auto" w:fill="auto"/>
            <w:rPr>
              <w:sz w:val="14"/>
            </w:rPr>
          </w:pPr>
          <w:r w:rsidRPr="00321DBD">
            <w:rPr>
              <w:sz w:val="14"/>
              <w:szCs w:val="16"/>
              <w:lang w:bidi="lv-LV"/>
            </w:rPr>
            <w:t xml:space="preserve">Visu PSO priekšlikums metodikai, ar kuru aprēķina plānoto apmaiņu, kas izriet no vienotas nākamās dienas tirgus sasaistīšanas, saskaņā ar 2015. gada 24. jūlija Komisijas Regulas (ES) Nr. 2015/1222, ar ko izveido jaudas piešķiršanas un pārslodzes vadības vadlīnijas, </w:t>
          </w:r>
          <w:r w:rsidR="00321DBD">
            <w:rPr>
              <w:sz w:val="14"/>
              <w:szCs w:val="16"/>
              <w:lang w:bidi="lv-LV"/>
            </w:rPr>
            <w:t>56</w:t>
          </w:r>
          <w:r w:rsidRPr="00321DBD">
            <w:rPr>
              <w:sz w:val="14"/>
              <w:szCs w:val="16"/>
              <w:lang w:bidi="lv-LV"/>
            </w:rPr>
            <w:t>. pantu</w:t>
          </w:r>
        </w:p>
      </w:tc>
      <w:tc>
        <w:tcPr>
          <w:tcW w:w="2000" w:type="dxa"/>
        </w:tcPr>
        <w:p w14:paraId="1E4364FB" w14:textId="77777777" w:rsidR="00405A1F" w:rsidRDefault="00405A1F" w:rsidP="00405A1F">
          <w:pPr>
            <w:jc w:val="right"/>
            <w:rPr>
              <w:rFonts w:ascii="Times New Roman" w:hAnsi="Times New Roman" w:cs="Times New Roman"/>
              <w:i/>
            </w:rPr>
          </w:pPr>
          <w:r>
            <w:rPr>
              <w:rFonts w:ascii="Times New Roman" w:eastAsia="Times New Roman" w:hAnsi="Times New Roman" w:cs="Times New Roman"/>
              <w:i/>
              <w:lang w:bidi="lv-LV"/>
            </w:rPr>
            <w:t>(logotips)</w:t>
          </w:r>
        </w:p>
      </w:tc>
    </w:tr>
  </w:tbl>
  <w:p w14:paraId="602F6530" w14:textId="7AA089D8" w:rsidR="008A3BFC" w:rsidRPr="003C08D4" w:rsidRDefault="008A3BFC" w:rsidP="003C08D4">
    <w:pPr>
      <w:pStyle w:val="Galvene"/>
      <w:jc w:val="right"/>
      <w:rPr>
        <w:rFonts w:ascii="Times New Roman" w:hAnsi="Times New Roman" w:cs="Times New Roman"/>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5E42" w14:textId="45404360" w:rsidR="00405A1F" w:rsidRPr="00405A1F" w:rsidRDefault="00405A1F" w:rsidP="00405A1F">
    <w:pPr>
      <w:pStyle w:val="Galvene"/>
      <w:jc w:val="right"/>
      <w:rPr>
        <w:rFonts w:ascii="Times New Roman" w:hAnsi="Times New Roman" w:cs="Times New Roman"/>
        <w:i/>
      </w:rPr>
    </w:pPr>
    <w:r w:rsidRPr="00405A1F">
      <w:rPr>
        <w:rFonts w:ascii="Times New Roman" w:eastAsia="Times New Roman" w:hAnsi="Times New Roman" w:cs="Times New Roman"/>
        <w:i/>
        <w:lang w:bidi="lv-LV"/>
      </w:rPr>
      <w:t>(logotips)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1877"/>
    <w:multiLevelType w:val="hybridMultilevel"/>
    <w:tmpl w:val="3AEE3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918A6"/>
    <w:multiLevelType w:val="hybridMultilevel"/>
    <w:tmpl w:val="B942A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32753"/>
    <w:multiLevelType w:val="hybridMultilevel"/>
    <w:tmpl w:val="D9E8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10D9A"/>
    <w:multiLevelType w:val="multilevel"/>
    <w:tmpl w:val="F9E69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96ED1"/>
    <w:multiLevelType w:val="hybridMultilevel"/>
    <w:tmpl w:val="9A9E4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E0F35"/>
    <w:multiLevelType w:val="hybridMultilevel"/>
    <w:tmpl w:val="573E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A586C"/>
    <w:multiLevelType w:val="hybridMultilevel"/>
    <w:tmpl w:val="11CC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472AE"/>
    <w:multiLevelType w:val="hybridMultilevel"/>
    <w:tmpl w:val="9628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90A78"/>
    <w:multiLevelType w:val="hybridMultilevel"/>
    <w:tmpl w:val="273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E31E5"/>
    <w:multiLevelType w:val="multilevel"/>
    <w:tmpl w:val="CBE0D69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3E4D59"/>
    <w:multiLevelType w:val="multilevel"/>
    <w:tmpl w:val="3A8EC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083FAF"/>
    <w:multiLevelType w:val="hybridMultilevel"/>
    <w:tmpl w:val="065A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85964"/>
    <w:multiLevelType w:val="multilevel"/>
    <w:tmpl w:val="300C8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91E59"/>
    <w:multiLevelType w:val="hybridMultilevel"/>
    <w:tmpl w:val="19842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677E2"/>
    <w:multiLevelType w:val="hybridMultilevel"/>
    <w:tmpl w:val="2798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07731"/>
    <w:multiLevelType w:val="multilevel"/>
    <w:tmpl w:val="A59CF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7B3163"/>
    <w:multiLevelType w:val="multilevel"/>
    <w:tmpl w:val="E368B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F61DC4"/>
    <w:multiLevelType w:val="multilevel"/>
    <w:tmpl w:val="2300F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E74B05"/>
    <w:multiLevelType w:val="hybridMultilevel"/>
    <w:tmpl w:val="B276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22067"/>
    <w:multiLevelType w:val="hybridMultilevel"/>
    <w:tmpl w:val="CD14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E35D3"/>
    <w:multiLevelType w:val="hybridMultilevel"/>
    <w:tmpl w:val="5C2A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A0A01"/>
    <w:multiLevelType w:val="hybridMultilevel"/>
    <w:tmpl w:val="A8FC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450A2"/>
    <w:multiLevelType w:val="multilevel"/>
    <w:tmpl w:val="5784D4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844AB9"/>
    <w:multiLevelType w:val="multilevel"/>
    <w:tmpl w:val="C1DEE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BA1E6B"/>
    <w:multiLevelType w:val="hybridMultilevel"/>
    <w:tmpl w:val="9A48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24BD8"/>
    <w:multiLevelType w:val="multilevel"/>
    <w:tmpl w:val="ADF897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5"/>
  </w:num>
  <w:num w:numId="4">
    <w:abstractNumId w:val="25"/>
  </w:num>
  <w:num w:numId="5">
    <w:abstractNumId w:val="12"/>
  </w:num>
  <w:num w:numId="6">
    <w:abstractNumId w:val="10"/>
  </w:num>
  <w:num w:numId="7">
    <w:abstractNumId w:val="17"/>
  </w:num>
  <w:num w:numId="8">
    <w:abstractNumId w:val="23"/>
  </w:num>
  <w:num w:numId="9">
    <w:abstractNumId w:val="22"/>
  </w:num>
  <w:num w:numId="10">
    <w:abstractNumId w:val="16"/>
  </w:num>
  <w:num w:numId="11">
    <w:abstractNumId w:val="20"/>
  </w:num>
  <w:num w:numId="12">
    <w:abstractNumId w:val="18"/>
  </w:num>
  <w:num w:numId="13">
    <w:abstractNumId w:val="19"/>
  </w:num>
  <w:num w:numId="14">
    <w:abstractNumId w:val="8"/>
  </w:num>
  <w:num w:numId="15">
    <w:abstractNumId w:val="0"/>
  </w:num>
  <w:num w:numId="16">
    <w:abstractNumId w:val="2"/>
  </w:num>
  <w:num w:numId="17">
    <w:abstractNumId w:val="11"/>
  </w:num>
  <w:num w:numId="18">
    <w:abstractNumId w:val="13"/>
  </w:num>
  <w:num w:numId="19">
    <w:abstractNumId w:val="6"/>
  </w:num>
  <w:num w:numId="20">
    <w:abstractNumId w:val="4"/>
  </w:num>
  <w:num w:numId="21">
    <w:abstractNumId w:val="1"/>
  </w:num>
  <w:num w:numId="22">
    <w:abstractNumId w:val="14"/>
  </w:num>
  <w:num w:numId="23">
    <w:abstractNumId w:val="7"/>
  </w:num>
  <w:num w:numId="24">
    <w:abstractNumId w:val="21"/>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BFC"/>
    <w:rsid w:val="00001D85"/>
    <w:rsid w:val="0023720B"/>
    <w:rsid w:val="003038BA"/>
    <w:rsid w:val="00321DBD"/>
    <w:rsid w:val="003C08D4"/>
    <w:rsid w:val="003E0CD2"/>
    <w:rsid w:val="00405A1F"/>
    <w:rsid w:val="004B4D62"/>
    <w:rsid w:val="0050306D"/>
    <w:rsid w:val="005941F5"/>
    <w:rsid w:val="00674111"/>
    <w:rsid w:val="006908B8"/>
    <w:rsid w:val="00727592"/>
    <w:rsid w:val="007371DB"/>
    <w:rsid w:val="00810DE8"/>
    <w:rsid w:val="00822E76"/>
    <w:rsid w:val="008A3BFC"/>
    <w:rsid w:val="00996F67"/>
    <w:rsid w:val="00CB2771"/>
    <w:rsid w:val="00DD4509"/>
    <w:rsid w:val="00E441C9"/>
    <w:rsid w:val="00E85171"/>
    <w:rsid w:val="00F8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C7614"/>
  <w15:docId w15:val="{9B608E93-8439-4393-93DE-8029B411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color w:val="000000"/>
    </w:rPr>
  </w:style>
  <w:style w:type="paragraph" w:styleId="Virsraksts1">
    <w:name w:val="heading 1"/>
    <w:basedOn w:val="Parasts"/>
    <w:next w:val="Parasts"/>
    <w:link w:val="Virsraksts1Rakstz"/>
    <w:uiPriority w:val="9"/>
    <w:qFormat/>
    <w:rsid w:val="003C08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3">
    <w:name w:val="Body text (3)_"/>
    <w:basedOn w:val="Noklusjumarindkopasfonts"/>
    <w:link w:val="Bodytext30"/>
    <w:rPr>
      <w:rFonts w:ascii="Arial Narrow" w:eastAsia="Arial Narrow" w:hAnsi="Arial Narrow" w:cs="Arial Narrow"/>
      <w:b/>
      <w:bCs/>
      <w:i w:val="0"/>
      <w:iCs w:val="0"/>
      <w:smallCaps w:val="0"/>
      <w:strike w:val="0"/>
      <w:color w:val="B2B4B3"/>
      <w:sz w:val="15"/>
      <w:szCs w:val="15"/>
      <w:u w:val="none"/>
    </w:rPr>
  </w:style>
  <w:style w:type="character" w:customStyle="1" w:styleId="Headerorfooter2">
    <w:name w:val="Header or footer (2)_"/>
    <w:basedOn w:val="Noklusjumarindkopasfont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Noklusjumarindkopasfonts"/>
    <w:link w:val="Bodytext20"/>
    <w:rPr>
      <w:rFonts w:ascii="Arial" w:eastAsia="Arial" w:hAnsi="Arial" w:cs="Arial"/>
      <w:b/>
      <w:bCs/>
      <w:i w:val="0"/>
      <w:iCs w:val="0"/>
      <w:smallCaps w:val="0"/>
      <w:strike w:val="0"/>
      <w:sz w:val="36"/>
      <w:szCs w:val="36"/>
      <w:u w:val="none"/>
    </w:rPr>
  </w:style>
  <w:style w:type="character" w:customStyle="1" w:styleId="Bodytext4">
    <w:name w:val="Body text (4)_"/>
    <w:basedOn w:val="Noklusjumarindkopasfonts"/>
    <w:link w:val="Bodytext4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
    <w:name w:val="Table of contents_"/>
    <w:basedOn w:val="Noklusjumarindkopasfonts"/>
    <w:link w:val="Tableofcontents0"/>
    <w:rPr>
      <w:rFonts w:ascii="Arial" w:eastAsia="Arial" w:hAnsi="Arial" w:cs="Arial"/>
      <w:b w:val="0"/>
      <w:bCs w:val="0"/>
      <w:i w:val="0"/>
      <w:iCs w:val="0"/>
      <w:smallCaps w:val="0"/>
      <w:strike w:val="0"/>
      <w:sz w:val="22"/>
      <w:szCs w:val="22"/>
      <w:u w:val="none"/>
    </w:rPr>
  </w:style>
  <w:style w:type="character" w:customStyle="1" w:styleId="PamattekstsRakstz">
    <w:name w:val="Pamatteksts Rakstz."/>
    <w:basedOn w:val="Noklusjumarindkopasfonts"/>
    <w:link w:val="Pamattekst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oklusjumarindkopasfonts"/>
    <w:link w:val="Heading10"/>
    <w:rPr>
      <w:rFonts w:ascii="Times New Roman" w:eastAsia="Times New Roman" w:hAnsi="Times New Roman" w:cs="Times New Roman"/>
      <w:b/>
      <w:bCs/>
      <w:i w:val="0"/>
      <w:iCs w:val="0"/>
      <w:smallCaps w:val="0"/>
      <w:strike w:val="0"/>
      <w:color w:val="23236E"/>
      <w:u w:val="none"/>
    </w:rPr>
  </w:style>
  <w:style w:type="paragraph" w:customStyle="1" w:styleId="Bodytext30">
    <w:name w:val="Body text (3)"/>
    <w:basedOn w:val="Parasts"/>
    <w:link w:val="Bodytext3"/>
    <w:pPr>
      <w:shd w:val="clear" w:color="auto" w:fill="FFFFFF"/>
      <w:spacing w:after="3600"/>
      <w:ind w:left="5020" w:right="2440"/>
      <w:jc w:val="right"/>
    </w:pPr>
    <w:rPr>
      <w:rFonts w:ascii="Arial Narrow" w:eastAsia="Arial Narrow" w:hAnsi="Arial Narrow" w:cs="Arial Narrow"/>
      <w:b/>
      <w:bCs/>
      <w:color w:val="B2B4B3"/>
      <w:sz w:val="15"/>
      <w:szCs w:val="15"/>
    </w:rPr>
  </w:style>
  <w:style w:type="paragraph" w:customStyle="1" w:styleId="Headerorfooter20">
    <w:name w:val="Header or footer (2)"/>
    <w:basedOn w:val="Parasts"/>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Parasts"/>
    <w:link w:val="Bodytext2"/>
    <w:pPr>
      <w:shd w:val="clear" w:color="auto" w:fill="FFFFFF"/>
      <w:spacing w:after="1400" w:line="276" w:lineRule="auto"/>
      <w:jc w:val="center"/>
    </w:pPr>
    <w:rPr>
      <w:rFonts w:ascii="Arial" w:eastAsia="Arial" w:hAnsi="Arial" w:cs="Arial"/>
      <w:b/>
      <w:bCs/>
      <w:sz w:val="36"/>
      <w:szCs w:val="36"/>
    </w:rPr>
  </w:style>
  <w:style w:type="paragraph" w:customStyle="1" w:styleId="Bodytext40">
    <w:name w:val="Body text (4)"/>
    <w:basedOn w:val="Parasts"/>
    <w:link w:val="Bodytext4"/>
    <w:pPr>
      <w:shd w:val="clear" w:color="auto" w:fill="FFFFFF"/>
      <w:spacing w:after="2700"/>
    </w:pPr>
    <w:rPr>
      <w:rFonts w:ascii="Times New Roman" w:eastAsia="Times New Roman" w:hAnsi="Times New Roman" w:cs="Times New Roman"/>
      <w:sz w:val="28"/>
      <w:szCs w:val="28"/>
    </w:rPr>
  </w:style>
  <w:style w:type="paragraph" w:customStyle="1" w:styleId="Tableofcontents0">
    <w:name w:val="Table of contents"/>
    <w:basedOn w:val="Parasts"/>
    <w:link w:val="Tableofcontents"/>
    <w:pPr>
      <w:shd w:val="clear" w:color="auto" w:fill="FFFFFF"/>
      <w:spacing w:after="60"/>
    </w:pPr>
    <w:rPr>
      <w:rFonts w:ascii="Arial" w:eastAsia="Arial" w:hAnsi="Arial" w:cs="Arial"/>
      <w:sz w:val="22"/>
      <w:szCs w:val="22"/>
    </w:rPr>
  </w:style>
  <w:style w:type="paragraph" w:styleId="Pamatteksts">
    <w:name w:val="Body Text"/>
    <w:basedOn w:val="Parasts"/>
    <w:link w:val="PamattekstsRakstz"/>
    <w:qFormat/>
    <w:pPr>
      <w:shd w:val="clear" w:color="auto" w:fill="FFFFFF"/>
      <w:spacing w:after="260" w:line="276" w:lineRule="auto"/>
    </w:pPr>
    <w:rPr>
      <w:rFonts w:ascii="Times New Roman" w:eastAsia="Times New Roman" w:hAnsi="Times New Roman" w:cs="Times New Roman"/>
      <w:sz w:val="22"/>
      <w:szCs w:val="22"/>
    </w:rPr>
  </w:style>
  <w:style w:type="paragraph" w:customStyle="1" w:styleId="Heading10">
    <w:name w:val="Heading #1"/>
    <w:basedOn w:val="Parasts"/>
    <w:link w:val="Heading1"/>
    <w:pPr>
      <w:shd w:val="clear" w:color="auto" w:fill="FFFFFF"/>
      <w:spacing w:after="350" w:line="254" w:lineRule="auto"/>
      <w:jc w:val="center"/>
      <w:outlineLvl w:val="0"/>
    </w:pPr>
    <w:rPr>
      <w:rFonts w:ascii="Times New Roman" w:eastAsia="Times New Roman" w:hAnsi="Times New Roman" w:cs="Times New Roman"/>
      <w:b/>
      <w:bCs/>
      <w:color w:val="23236E"/>
    </w:rPr>
  </w:style>
  <w:style w:type="paragraph" w:styleId="Galvene">
    <w:name w:val="header"/>
    <w:basedOn w:val="Parasts"/>
    <w:link w:val="GalveneRakstz"/>
    <w:uiPriority w:val="99"/>
    <w:unhideWhenUsed/>
    <w:rsid w:val="00DD4509"/>
    <w:pPr>
      <w:tabs>
        <w:tab w:val="center" w:pos="4320"/>
        <w:tab w:val="right" w:pos="8640"/>
      </w:tabs>
    </w:pPr>
  </w:style>
  <w:style w:type="character" w:customStyle="1" w:styleId="GalveneRakstz">
    <w:name w:val="Galvene Rakstz."/>
    <w:basedOn w:val="Noklusjumarindkopasfonts"/>
    <w:link w:val="Galvene"/>
    <w:uiPriority w:val="99"/>
    <w:rsid w:val="00DD4509"/>
    <w:rPr>
      <w:color w:val="000000"/>
    </w:rPr>
  </w:style>
  <w:style w:type="paragraph" w:styleId="Kjene">
    <w:name w:val="footer"/>
    <w:basedOn w:val="Parasts"/>
    <w:link w:val="KjeneRakstz"/>
    <w:uiPriority w:val="99"/>
    <w:unhideWhenUsed/>
    <w:rsid w:val="00DD4509"/>
    <w:pPr>
      <w:tabs>
        <w:tab w:val="center" w:pos="4320"/>
        <w:tab w:val="right" w:pos="8640"/>
      </w:tabs>
    </w:pPr>
  </w:style>
  <w:style w:type="character" w:customStyle="1" w:styleId="KjeneRakstz">
    <w:name w:val="Kājene Rakstz."/>
    <w:basedOn w:val="Noklusjumarindkopasfonts"/>
    <w:link w:val="Kjene"/>
    <w:uiPriority w:val="99"/>
    <w:rsid w:val="00DD4509"/>
    <w:rPr>
      <w:color w:val="000000"/>
    </w:rPr>
  </w:style>
  <w:style w:type="character" w:styleId="Hipersaite">
    <w:name w:val="Hyperlink"/>
    <w:basedOn w:val="Noklusjumarindkopasfonts"/>
    <w:uiPriority w:val="99"/>
    <w:unhideWhenUsed/>
    <w:rsid w:val="003C08D4"/>
    <w:rPr>
      <w:color w:val="0563C1" w:themeColor="hyperlink"/>
      <w:u w:val="single"/>
    </w:rPr>
  </w:style>
  <w:style w:type="table" w:styleId="Reatabula">
    <w:name w:val="Table Grid"/>
    <w:basedOn w:val="Parastatabula"/>
    <w:uiPriority w:val="39"/>
    <w:rsid w:val="003C08D4"/>
    <w:pPr>
      <w:widowControl/>
    </w:pPr>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C08D4"/>
    <w:pPr>
      <w:ind w:left="720"/>
      <w:contextualSpacing/>
    </w:pPr>
  </w:style>
  <w:style w:type="character" w:customStyle="1" w:styleId="Virsraksts1Rakstz">
    <w:name w:val="Virsraksts 1 Rakstz."/>
    <w:basedOn w:val="Noklusjumarindkopasfonts"/>
    <w:link w:val="Virsraksts1"/>
    <w:uiPriority w:val="9"/>
    <w:rsid w:val="003C08D4"/>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3C08D4"/>
    <w:pPr>
      <w:widowControl/>
      <w:spacing w:line="259" w:lineRule="auto"/>
      <w:outlineLvl w:val="9"/>
    </w:pPr>
    <w:rPr>
      <w:lang w:bidi="ar-SA"/>
    </w:rPr>
  </w:style>
  <w:style w:type="paragraph" w:styleId="Saturs1">
    <w:name w:val="toc 1"/>
    <w:basedOn w:val="Parasts"/>
    <w:next w:val="Parasts"/>
    <w:autoRedefine/>
    <w:uiPriority w:val="39"/>
    <w:unhideWhenUsed/>
    <w:rsid w:val="00996F67"/>
    <w:pPr>
      <w:spacing w:after="100"/>
    </w:pPr>
    <w:rPr>
      <w:rFonts w:ascii="Times New Roman" w:hAnsi="Times New Roman"/>
    </w:rPr>
  </w:style>
  <w:style w:type="paragraph" w:styleId="Balonteksts">
    <w:name w:val="Balloon Text"/>
    <w:basedOn w:val="Parasts"/>
    <w:link w:val="BalontekstsRakstz"/>
    <w:uiPriority w:val="99"/>
    <w:semiHidden/>
    <w:unhideWhenUsed/>
    <w:rsid w:val="003038B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038B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197922">
      <w:bodyDiv w:val="1"/>
      <w:marLeft w:val="0"/>
      <w:marRight w:val="0"/>
      <w:marTop w:val="0"/>
      <w:marBottom w:val="0"/>
      <w:divBdr>
        <w:top w:val="none" w:sz="0" w:space="0" w:color="auto"/>
        <w:left w:val="none" w:sz="0" w:space="0" w:color="auto"/>
        <w:bottom w:val="none" w:sz="0" w:space="0" w:color="auto"/>
        <w:right w:val="none" w:sz="0" w:space="0" w:color="auto"/>
      </w:divBdr>
      <w:divsChild>
        <w:div w:id="2140224427">
          <w:marLeft w:val="0"/>
          <w:marRight w:val="0"/>
          <w:marTop w:val="0"/>
          <w:marBottom w:val="0"/>
          <w:divBdr>
            <w:top w:val="none" w:sz="0" w:space="0" w:color="auto"/>
            <w:left w:val="none" w:sz="0" w:space="0" w:color="auto"/>
            <w:bottom w:val="none" w:sz="0" w:space="0" w:color="auto"/>
            <w:right w:val="none" w:sz="0" w:space="0" w:color="auto"/>
          </w:divBdr>
          <w:divsChild>
            <w:div w:id="1374846831">
              <w:marLeft w:val="0"/>
              <w:marRight w:val="0"/>
              <w:marTop w:val="0"/>
              <w:marBottom w:val="0"/>
              <w:divBdr>
                <w:top w:val="none" w:sz="0" w:space="0" w:color="auto"/>
                <w:left w:val="none" w:sz="0" w:space="0" w:color="auto"/>
                <w:bottom w:val="none" w:sz="0" w:space="0" w:color="auto"/>
                <w:right w:val="none" w:sz="0" w:space="0" w:color="auto"/>
              </w:divBdr>
              <w:divsChild>
                <w:div w:id="1308894920">
                  <w:marLeft w:val="0"/>
                  <w:marRight w:val="0"/>
                  <w:marTop w:val="0"/>
                  <w:marBottom w:val="0"/>
                  <w:divBdr>
                    <w:top w:val="none" w:sz="0" w:space="0" w:color="auto"/>
                    <w:left w:val="none" w:sz="0" w:space="0" w:color="auto"/>
                    <w:bottom w:val="none" w:sz="0" w:space="0" w:color="auto"/>
                    <w:right w:val="none" w:sz="0" w:space="0" w:color="auto"/>
                  </w:divBdr>
                  <w:divsChild>
                    <w:div w:id="1122651137">
                      <w:marLeft w:val="0"/>
                      <w:marRight w:val="0"/>
                      <w:marTop w:val="0"/>
                      <w:marBottom w:val="0"/>
                      <w:divBdr>
                        <w:top w:val="none" w:sz="0" w:space="0" w:color="auto"/>
                        <w:left w:val="none" w:sz="0" w:space="0" w:color="auto"/>
                        <w:bottom w:val="none" w:sz="0" w:space="0" w:color="auto"/>
                        <w:right w:val="none" w:sz="0" w:space="0" w:color="auto"/>
                      </w:divBdr>
                      <w:divsChild>
                        <w:div w:id="1675184115">
                          <w:marLeft w:val="0"/>
                          <w:marRight w:val="0"/>
                          <w:marTop w:val="0"/>
                          <w:marBottom w:val="0"/>
                          <w:divBdr>
                            <w:top w:val="none" w:sz="0" w:space="0" w:color="auto"/>
                            <w:left w:val="none" w:sz="0" w:space="0" w:color="auto"/>
                            <w:bottom w:val="none" w:sz="0" w:space="0" w:color="auto"/>
                            <w:right w:val="none" w:sz="0" w:space="0" w:color="auto"/>
                          </w:divBdr>
                          <w:divsChild>
                            <w:div w:id="1851290942">
                              <w:marLeft w:val="0"/>
                              <w:marRight w:val="0"/>
                              <w:marTop w:val="0"/>
                              <w:marBottom w:val="0"/>
                              <w:divBdr>
                                <w:top w:val="none" w:sz="0" w:space="0" w:color="auto"/>
                                <w:left w:val="none" w:sz="0" w:space="0" w:color="auto"/>
                                <w:bottom w:val="none" w:sz="0" w:space="0" w:color="auto"/>
                                <w:right w:val="none" w:sz="0" w:space="0" w:color="auto"/>
                              </w:divBdr>
                              <w:divsChild>
                                <w:div w:id="1051349077">
                                  <w:marLeft w:val="0"/>
                                  <w:marRight w:val="0"/>
                                  <w:marTop w:val="0"/>
                                  <w:marBottom w:val="0"/>
                                  <w:divBdr>
                                    <w:top w:val="none" w:sz="0" w:space="0" w:color="auto"/>
                                    <w:left w:val="none" w:sz="0" w:space="0" w:color="auto"/>
                                    <w:bottom w:val="none" w:sz="0" w:space="0" w:color="auto"/>
                                    <w:right w:val="none" w:sz="0" w:space="0" w:color="auto"/>
                                  </w:divBdr>
                                  <w:divsChild>
                                    <w:div w:id="512501020">
                                      <w:marLeft w:val="0"/>
                                      <w:marRight w:val="0"/>
                                      <w:marTop w:val="0"/>
                                      <w:marBottom w:val="0"/>
                                      <w:divBdr>
                                        <w:top w:val="none" w:sz="0" w:space="0" w:color="auto"/>
                                        <w:left w:val="none" w:sz="0" w:space="0" w:color="auto"/>
                                        <w:bottom w:val="none" w:sz="0" w:space="0" w:color="auto"/>
                                        <w:right w:val="none" w:sz="0" w:space="0" w:color="auto"/>
                                      </w:divBdr>
                                      <w:divsChild>
                                        <w:div w:id="1539663957">
                                          <w:marLeft w:val="0"/>
                                          <w:marRight w:val="0"/>
                                          <w:marTop w:val="0"/>
                                          <w:marBottom w:val="495"/>
                                          <w:divBdr>
                                            <w:top w:val="none" w:sz="0" w:space="0" w:color="auto"/>
                                            <w:left w:val="none" w:sz="0" w:space="0" w:color="auto"/>
                                            <w:bottom w:val="none" w:sz="0" w:space="0" w:color="auto"/>
                                            <w:right w:val="none" w:sz="0" w:space="0" w:color="auto"/>
                                          </w:divBdr>
                                          <w:divsChild>
                                            <w:div w:id="2636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8418</Words>
  <Characters>4799</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All TSOs’ proposal for a Methodology for Calculating Scheduled Exchanges resulting from single intra-day coupling in accordance with Article 56 of the Commission Regulation (EU) 2015/1222 of 24 July 2015 establishing a guideline on capacity allocation and</vt:lpstr>
      <vt:lpstr>All TSOs’ proposal for a Methodology for Calculating Scheduled Exchanges resulting from single intra-day coupling in accordance with Article 56 of the Commission Regulation (EU) 2015/1222 of 24 July 2015 establishing a guideline on capacity allocation and</vt:lpstr>
    </vt:vector>
  </TitlesOfParts>
  <Company>Latvenergo</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TSOs’ proposal for a Methodology for Calculating Scheduled Exchanges resulting from single intra-day coupling in accordance with Article 56 of the Commission Regulation (EU) 2015/1222 of 24 July 2015 establishing a guideline on capacity allocation and congestion management</dc:title>
  <dc:creator>Volha Veramyeva</dc:creator>
  <cp:lastModifiedBy>Edīte Bieļa-Dailidoviča</cp:lastModifiedBy>
  <cp:revision>4</cp:revision>
  <dcterms:created xsi:type="dcterms:W3CDTF">2019-02-07T13:10:00Z</dcterms:created>
  <dcterms:modified xsi:type="dcterms:W3CDTF">2019-02-28T12:55:00Z</dcterms:modified>
</cp:coreProperties>
</file>