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392D4" w14:textId="3D9841F7" w:rsidR="00385568" w:rsidRPr="00944992" w:rsidRDefault="00385568" w:rsidP="00385568">
      <w:pPr>
        <w:spacing w:after="200" w:line="276" w:lineRule="auto"/>
        <w:rPr>
          <w:rFonts w:ascii="Times New Roman" w:hAnsi="Times New Roman" w:cstheme="majorHAnsi"/>
          <w:b/>
          <w:color w:val="1F497D" w:themeColor="text2"/>
          <w:sz w:val="28"/>
          <w:szCs w:val="28"/>
          <w:lang w:val="lv-LV"/>
        </w:rPr>
      </w:pPr>
      <w:bookmarkStart w:id="0" w:name="_Toc464485817"/>
      <w:bookmarkStart w:id="1" w:name="_Toc432586789"/>
      <w:bookmarkStart w:id="2" w:name="_Toc432586769"/>
    </w:p>
    <w:p w14:paraId="3984AEC6" w14:textId="77777777" w:rsidR="00385568" w:rsidRPr="00944992" w:rsidRDefault="00385568" w:rsidP="00385568">
      <w:pPr>
        <w:rPr>
          <w:sz w:val="28"/>
          <w:lang w:val="lv-LV"/>
        </w:rPr>
      </w:pPr>
    </w:p>
    <w:p w14:paraId="3231C104" w14:textId="77777777" w:rsidR="00385568" w:rsidRPr="00944992" w:rsidRDefault="00385568" w:rsidP="00385568">
      <w:pPr>
        <w:rPr>
          <w:sz w:val="28"/>
          <w:lang w:val="lv-LV"/>
        </w:rPr>
      </w:pPr>
    </w:p>
    <w:p w14:paraId="39C67D30" w14:textId="77777777" w:rsidR="00385568" w:rsidRPr="00944992" w:rsidRDefault="00385568" w:rsidP="00385568">
      <w:pPr>
        <w:rPr>
          <w:sz w:val="28"/>
          <w:lang w:val="lv-LV"/>
        </w:rPr>
      </w:pPr>
    </w:p>
    <w:p w14:paraId="04568FF4" w14:textId="77777777" w:rsidR="00385568" w:rsidRPr="00944992" w:rsidRDefault="00385568" w:rsidP="00385568">
      <w:pPr>
        <w:rPr>
          <w:sz w:val="28"/>
          <w:lang w:val="lv-LV"/>
        </w:rPr>
      </w:pPr>
    </w:p>
    <w:tbl>
      <w:tblPr>
        <w:tblStyle w:val="Vidjssaraksts2"/>
        <w:tblpPr w:leftFromText="141" w:rightFromText="141" w:vertAnchor="page" w:horzAnchor="margin" w:tblpY="3436"/>
        <w:tblW w:w="0" w:type="auto"/>
        <w:tblLook w:val="04A0" w:firstRow="1" w:lastRow="0" w:firstColumn="1" w:lastColumn="0" w:noHBand="0" w:noVBand="1"/>
      </w:tblPr>
      <w:tblGrid>
        <w:gridCol w:w="9072"/>
      </w:tblGrid>
      <w:tr w:rsidR="00FB402B" w:rsidRPr="00C24F6B" w14:paraId="042D2EA7" w14:textId="77777777" w:rsidTr="005146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tcBorders>
              <w:bottom w:val="nil"/>
            </w:tcBorders>
          </w:tcPr>
          <w:p w14:paraId="335EC70B" w14:textId="77777777" w:rsidR="00FB402B" w:rsidRPr="00944992" w:rsidRDefault="00FB402B" w:rsidP="00FB402B">
            <w:pPr>
              <w:rPr>
                <w:color w:val="215868" w:themeColor="accent5" w:themeShade="80"/>
                <w:sz w:val="80"/>
                <w:szCs w:val="80"/>
                <w:lang w:val="lv-LV"/>
              </w:rPr>
            </w:pPr>
          </w:p>
          <w:p w14:paraId="5606C9A3" w14:textId="7033423B" w:rsidR="00FB402B" w:rsidRPr="00944992" w:rsidRDefault="003B05F4" w:rsidP="007B138A">
            <w:pPr>
              <w:pStyle w:val="headline2"/>
              <w:pBdr>
                <w:bottom w:val="single" w:sz="4" w:space="1" w:color="auto"/>
              </w:pBdr>
              <w:spacing w:line="276" w:lineRule="auto"/>
              <w:rPr>
                <w:sz w:val="48"/>
                <w:szCs w:val="28"/>
                <w:lang w:val="lv-LV"/>
              </w:rPr>
            </w:pPr>
            <w:bookmarkStart w:id="3" w:name="_Toc474834170"/>
            <w:bookmarkStart w:id="4" w:name="_Toc478563492"/>
            <w:bookmarkStart w:id="5" w:name="_Toc489267235"/>
            <w:bookmarkStart w:id="6" w:name="_Toc489572868"/>
            <w:r w:rsidRPr="00944992">
              <w:rPr>
                <w:sz w:val="48"/>
                <w:szCs w:val="28"/>
                <w:lang w:val="lv-LV"/>
              </w:rPr>
              <w:t xml:space="preserve">Visu Baltijas jaudas aprēķināšanas reģiona PSO priekšlikums rezerves procedūrām saskaņā ar </w:t>
            </w:r>
            <w:r w:rsidRPr="00944992">
              <w:rPr>
                <w:lang w:val="lv-LV"/>
              </w:rPr>
              <w:t xml:space="preserve"> </w:t>
            </w:r>
            <w:r w:rsidRPr="00944992">
              <w:rPr>
                <w:sz w:val="48"/>
                <w:szCs w:val="28"/>
                <w:lang w:val="lv-LV"/>
              </w:rPr>
              <w:t>Komisijas Regulas (ES) Nr. 2015/1222 (2015. gada 24. jūlijs), ar ko izveido jaudas piešķiršanas un pārslodzes vadības vadlīnijas, 44. pantu</w:t>
            </w:r>
            <w:bookmarkEnd w:id="3"/>
            <w:bookmarkEnd w:id="4"/>
            <w:bookmarkEnd w:id="5"/>
            <w:bookmarkEnd w:id="6"/>
          </w:p>
          <w:p w14:paraId="5D72477B" w14:textId="77777777" w:rsidR="00FB402B" w:rsidRPr="00944992" w:rsidRDefault="00FB402B" w:rsidP="00FB402B">
            <w:pPr>
              <w:jc w:val="center"/>
              <w:rPr>
                <w:sz w:val="28"/>
                <w:lang w:val="lv-LV"/>
              </w:rPr>
            </w:pPr>
          </w:p>
        </w:tc>
      </w:tr>
      <w:tr w:rsidR="00FB402B" w:rsidRPr="00944992" w14:paraId="2BAAB69F" w14:textId="77777777" w:rsidTr="00514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right w:val="nil"/>
            </w:tcBorders>
          </w:tcPr>
          <w:p w14:paraId="54635E89" w14:textId="77777777" w:rsidR="00FB402B" w:rsidRPr="00944992" w:rsidRDefault="00FB402B" w:rsidP="00FB402B">
            <w:pPr>
              <w:jc w:val="center"/>
              <w:rPr>
                <w:color w:val="002060"/>
                <w:sz w:val="36"/>
                <w:szCs w:val="80"/>
                <w:lang w:val="lv-LV"/>
              </w:rPr>
            </w:pPr>
          </w:p>
          <w:p w14:paraId="032E8B82" w14:textId="6B62EBB0" w:rsidR="00FB402B" w:rsidRPr="00944992" w:rsidRDefault="00FB402B" w:rsidP="00681325">
            <w:pPr>
              <w:jc w:val="center"/>
              <w:rPr>
                <w:rFonts w:ascii="Times New Roman" w:hAnsi="Times New Roman" w:cs="Times New Roman"/>
                <w:color w:val="215868" w:themeColor="accent5" w:themeShade="80"/>
                <w:sz w:val="80"/>
                <w:szCs w:val="80"/>
                <w:lang w:val="lv-LV"/>
              </w:rPr>
            </w:pPr>
            <w:r w:rsidRPr="00944992">
              <w:rPr>
                <w:rFonts w:ascii="Times New Roman" w:hAnsi="Times New Roman" w:cs="Times New Roman"/>
                <w:color w:val="002060"/>
                <w:sz w:val="36"/>
                <w:szCs w:val="80"/>
                <w:lang w:val="lv-LV"/>
              </w:rPr>
              <w:t>2017</w:t>
            </w:r>
            <w:r w:rsidR="003B05F4" w:rsidRPr="00944992">
              <w:rPr>
                <w:rFonts w:ascii="Times New Roman" w:hAnsi="Times New Roman" w:cs="Times New Roman"/>
                <w:color w:val="002060"/>
                <w:sz w:val="36"/>
                <w:szCs w:val="80"/>
                <w:lang w:val="lv-LV"/>
              </w:rPr>
              <w:t xml:space="preserve">. gada </w:t>
            </w:r>
            <w:r w:rsidR="00681325">
              <w:rPr>
                <w:rFonts w:ascii="Times New Roman" w:hAnsi="Times New Roman" w:cs="Times New Roman"/>
                <w:color w:val="002060"/>
                <w:sz w:val="36"/>
                <w:szCs w:val="80"/>
                <w:lang w:val="lv-LV"/>
              </w:rPr>
              <w:t>16.maijā</w:t>
            </w:r>
          </w:p>
        </w:tc>
      </w:tr>
    </w:tbl>
    <w:p w14:paraId="07DD33E6" w14:textId="77777777" w:rsidR="00385568" w:rsidRPr="00944992" w:rsidRDefault="00385568" w:rsidP="00385568">
      <w:pPr>
        <w:rPr>
          <w:sz w:val="28"/>
          <w:lang w:val="lv-LV"/>
        </w:rPr>
      </w:pPr>
    </w:p>
    <w:p w14:paraId="4C1CB122" w14:textId="77777777" w:rsidR="00385568" w:rsidRPr="00944992" w:rsidRDefault="00385568" w:rsidP="00385568">
      <w:pPr>
        <w:rPr>
          <w:sz w:val="28"/>
          <w:lang w:val="lv-LV"/>
        </w:rPr>
      </w:pPr>
    </w:p>
    <w:p w14:paraId="03C43022" w14:textId="77777777" w:rsidR="00385568" w:rsidRPr="00944992" w:rsidRDefault="00385568" w:rsidP="00385568">
      <w:pPr>
        <w:rPr>
          <w:sz w:val="28"/>
          <w:lang w:val="lv-LV"/>
        </w:rPr>
      </w:pPr>
    </w:p>
    <w:p w14:paraId="18774678" w14:textId="77777777" w:rsidR="00385568" w:rsidRPr="00944992" w:rsidRDefault="00385568" w:rsidP="00385568">
      <w:pPr>
        <w:rPr>
          <w:sz w:val="28"/>
          <w:lang w:val="lv-LV"/>
        </w:rPr>
      </w:pPr>
    </w:p>
    <w:p w14:paraId="32D73353" w14:textId="77777777" w:rsidR="00385568" w:rsidRPr="00944992" w:rsidRDefault="00385568" w:rsidP="00385568">
      <w:pPr>
        <w:rPr>
          <w:sz w:val="28"/>
          <w:lang w:val="lv-LV"/>
        </w:rPr>
      </w:pPr>
    </w:p>
    <w:p w14:paraId="04D8C6CE" w14:textId="77777777" w:rsidR="00385568" w:rsidRPr="00944992" w:rsidRDefault="00385568" w:rsidP="00385568">
      <w:pPr>
        <w:rPr>
          <w:sz w:val="28"/>
          <w:lang w:val="lv-LV"/>
        </w:rPr>
      </w:pPr>
    </w:p>
    <w:p w14:paraId="0B4F838A" w14:textId="54155253" w:rsidR="00385568" w:rsidRPr="00944992" w:rsidRDefault="006B4310" w:rsidP="006B4310">
      <w:pPr>
        <w:tabs>
          <w:tab w:val="left" w:pos="2461"/>
        </w:tabs>
        <w:rPr>
          <w:sz w:val="28"/>
          <w:lang w:val="lv-LV"/>
        </w:rPr>
      </w:pPr>
      <w:r w:rsidRPr="00944992">
        <w:rPr>
          <w:sz w:val="28"/>
          <w:lang w:val="lv-LV"/>
        </w:rPr>
        <w:tab/>
      </w:r>
    </w:p>
    <w:p w14:paraId="0475E92D" w14:textId="77777777" w:rsidR="00385568" w:rsidRPr="00944992" w:rsidRDefault="00385568" w:rsidP="00385568">
      <w:pPr>
        <w:rPr>
          <w:sz w:val="28"/>
          <w:lang w:val="lv-LV"/>
        </w:rPr>
      </w:pPr>
    </w:p>
    <w:p w14:paraId="3A7F24FC" w14:textId="77777777" w:rsidR="00385568" w:rsidRPr="00944992" w:rsidRDefault="00385568" w:rsidP="00385568">
      <w:pPr>
        <w:rPr>
          <w:sz w:val="28"/>
          <w:lang w:val="lv-LV"/>
        </w:rPr>
      </w:pPr>
    </w:p>
    <w:p w14:paraId="3ABAB5E2" w14:textId="77777777" w:rsidR="00385568" w:rsidRPr="00944992" w:rsidRDefault="00385568" w:rsidP="00385568">
      <w:pPr>
        <w:rPr>
          <w:sz w:val="28"/>
          <w:lang w:val="lv-LV"/>
        </w:rPr>
      </w:pPr>
    </w:p>
    <w:p w14:paraId="27E06CE1" w14:textId="77777777" w:rsidR="00385568" w:rsidRPr="00944992" w:rsidRDefault="00385568" w:rsidP="00385568">
      <w:pPr>
        <w:rPr>
          <w:sz w:val="28"/>
          <w:lang w:val="lv-LV"/>
        </w:rPr>
      </w:pPr>
    </w:p>
    <w:p w14:paraId="039B20B8" w14:textId="668D569A" w:rsidR="00385568" w:rsidRPr="00944992" w:rsidRDefault="00385568">
      <w:pPr>
        <w:spacing w:after="200" w:line="276" w:lineRule="auto"/>
        <w:rPr>
          <w:rFonts w:ascii="Times New Roman" w:hAnsi="Times New Roman" w:cstheme="majorHAnsi"/>
          <w:b/>
          <w:color w:val="1F497D" w:themeColor="text2"/>
          <w:sz w:val="28"/>
          <w:szCs w:val="28"/>
          <w:lang w:val="lv-LV"/>
        </w:rPr>
      </w:pPr>
    </w:p>
    <w:p w14:paraId="15276BBD" w14:textId="77777777" w:rsidR="00385568" w:rsidRPr="00944992" w:rsidRDefault="00385568" w:rsidP="003A3F72">
      <w:pPr>
        <w:pStyle w:val="headline2"/>
        <w:spacing w:line="276" w:lineRule="auto"/>
        <w:rPr>
          <w:sz w:val="28"/>
          <w:szCs w:val="28"/>
          <w:lang w:val="lv-LV"/>
        </w:rPr>
      </w:pPr>
    </w:p>
    <w:p w14:paraId="4F2CB4AD" w14:textId="77777777" w:rsidR="00FB402B" w:rsidRPr="00944992" w:rsidRDefault="00FB402B" w:rsidP="003A3F72">
      <w:pPr>
        <w:pStyle w:val="headline2"/>
        <w:spacing w:line="276" w:lineRule="auto"/>
        <w:rPr>
          <w:sz w:val="28"/>
          <w:szCs w:val="28"/>
          <w:lang w:val="lv-LV"/>
        </w:rPr>
      </w:pPr>
    </w:p>
    <w:sdt>
      <w:sdtPr>
        <w:rPr>
          <w:rFonts w:asciiTheme="minorHAnsi" w:eastAsiaTheme="minorHAnsi" w:hAnsiTheme="minorHAnsi" w:cstheme="minorBidi"/>
          <w:color w:val="auto"/>
          <w:sz w:val="22"/>
          <w:szCs w:val="22"/>
          <w:lang w:val="lv-LV"/>
        </w:rPr>
        <w:id w:val="507649685"/>
        <w:docPartObj>
          <w:docPartGallery w:val="Table of Contents"/>
          <w:docPartUnique/>
        </w:docPartObj>
      </w:sdtPr>
      <w:sdtEndPr>
        <w:rPr>
          <w:b/>
          <w:bCs/>
          <w:noProof/>
        </w:rPr>
      </w:sdtEndPr>
      <w:sdtContent>
        <w:p w14:paraId="34BE0739" w14:textId="1AA99A77" w:rsidR="00385568" w:rsidRPr="00944992" w:rsidRDefault="003B05F4">
          <w:pPr>
            <w:pStyle w:val="Saturardtjavirsraksts"/>
            <w:rPr>
              <w:rFonts w:ascii="Times New Roman" w:hAnsi="Times New Roman" w:cs="Times New Roman"/>
              <w:lang w:val="lv-LV"/>
            </w:rPr>
          </w:pPr>
          <w:r w:rsidRPr="00944992">
            <w:rPr>
              <w:rFonts w:ascii="Times New Roman" w:hAnsi="Times New Roman" w:cs="Times New Roman"/>
              <w:lang w:val="lv-LV"/>
            </w:rPr>
            <w:t>Saturs</w:t>
          </w:r>
        </w:p>
        <w:p w14:paraId="51317369" w14:textId="77777777" w:rsidR="006746B4" w:rsidRDefault="00385568">
          <w:pPr>
            <w:pStyle w:val="Saturs2"/>
            <w:tabs>
              <w:tab w:val="right" w:leader="dot" w:pos="9062"/>
            </w:tabs>
            <w:rPr>
              <w:rFonts w:eastAsiaTheme="minorEastAsia"/>
              <w:noProof/>
              <w:lang w:val="lv-LV" w:eastAsia="lv-LV"/>
            </w:rPr>
          </w:pPr>
          <w:r w:rsidRPr="00944992">
            <w:rPr>
              <w:rFonts w:ascii="Times New Roman" w:hAnsi="Times New Roman" w:cs="Times New Roman"/>
              <w:lang w:val="lv-LV"/>
            </w:rPr>
            <w:fldChar w:fldCharType="begin"/>
          </w:r>
          <w:r w:rsidRPr="00944992">
            <w:rPr>
              <w:rFonts w:ascii="Times New Roman" w:hAnsi="Times New Roman" w:cs="Times New Roman"/>
              <w:lang w:val="lv-LV"/>
            </w:rPr>
            <w:instrText xml:space="preserve"> TOC \o "1-3" \h \z \u </w:instrText>
          </w:r>
          <w:r w:rsidRPr="00944992">
            <w:rPr>
              <w:rFonts w:ascii="Times New Roman" w:hAnsi="Times New Roman" w:cs="Times New Roman"/>
              <w:lang w:val="lv-LV"/>
            </w:rPr>
            <w:fldChar w:fldCharType="separate"/>
          </w:r>
          <w:hyperlink w:anchor="_Toc489572868" w:history="1">
            <w:r w:rsidR="006746B4" w:rsidRPr="00FB1AA0">
              <w:rPr>
                <w:rStyle w:val="Hipersaite"/>
                <w:noProof/>
                <w:lang w:val="lv-LV"/>
              </w:rPr>
              <w:t>Visu Baltijas jaudas aprēķināšanas reģiona PSO priekšlikums rezerves procedūrām saskaņā ar  Komisijas Regulas (ES) Nr. 2015/1222 (2015. gada 24. jūlijs), ar ko izveido jaudas piešķiršanas un pārslodzes vadības vadlīnijas, 44. pantu</w:t>
            </w:r>
            <w:r w:rsidR="006746B4">
              <w:rPr>
                <w:noProof/>
                <w:webHidden/>
              </w:rPr>
              <w:tab/>
            </w:r>
            <w:r w:rsidR="006746B4">
              <w:rPr>
                <w:noProof/>
                <w:webHidden/>
              </w:rPr>
              <w:fldChar w:fldCharType="begin"/>
            </w:r>
            <w:r w:rsidR="006746B4">
              <w:rPr>
                <w:noProof/>
                <w:webHidden/>
              </w:rPr>
              <w:instrText xml:space="preserve"> PAGEREF _Toc489572868 \h </w:instrText>
            </w:r>
            <w:r w:rsidR="006746B4">
              <w:rPr>
                <w:noProof/>
                <w:webHidden/>
              </w:rPr>
            </w:r>
            <w:r w:rsidR="006746B4">
              <w:rPr>
                <w:noProof/>
                <w:webHidden/>
              </w:rPr>
              <w:fldChar w:fldCharType="separate"/>
            </w:r>
            <w:r w:rsidR="006746B4">
              <w:rPr>
                <w:noProof/>
                <w:webHidden/>
              </w:rPr>
              <w:t>1</w:t>
            </w:r>
            <w:r w:rsidR="006746B4">
              <w:rPr>
                <w:noProof/>
                <w:webHidden/>
              </w:rPr>
              <w:fldChar w:fldCharType="end"/>
            </w:r>
          </w:hyperlink>
        </w:p>
        <w:p w14:paraId="712560E1" w14:textId="77777777" w:rsidR="006746B4" w:rsidRDefault="008E03F3">
          <w:pPr>
            <w:pStyle w:val="Saturs1"/>
            <w:tabs>
              <w:tab w:val="right" w:leader="dot" w:pos="9062"/>
            </w:tabs>
            <w:rPr>
              <w:rFonts w:eastAsiaTheme="minorEastAsia"/>
              <w:noProof/>
              <w:lang w:val="lv-LV" w:eastAsia="lv-LV"/>
            </w:rPr>
          </w:pPr>
          <w:hyperlink w:anchor="_Toc489572869" w:history="1">
            <w:r w:rsidR="006746B4" w:rsidRPr="00FB1AA0">
              <w:rPr>
                <w:rStyle w:val="Hipersaite"/>
                <w:rFonts w:cs="Times New Roman"/>
                <w:noProof/>
                <w:lang w:val="lv-LV"/>
              </w:rPr>
              <w:t>Tā kā</w:t>
            </w:r>
            <w:r w:rsidR="006746B4">
              <w:rPr>
                <w:noProof/>
                <w:webHidden/>
              </w:rPr>
              <w:tab/>
            </w:r>
            <w:r w:rsidR="006746B4">
              <w:rPr>
                <w:noProof/>
                <w:webHidden/>
              </w:rPr>
              <w:fldChar w:fldCharType="begin"/>
            </w:r>
            <w:r w:rsidR="006746B4">
              <w:rPr>
                <w:noProof/>
                <w:webHidden/>
              </w:rPr>
              <w:instrText xml:space="preserve"> PAGEREF _Toc489572869 \h </w:instrText>
            </w:r>
            <w:r w:rsidR="006746B4">
              <w:rPr>
                <w:noProof/>
                <w:webHidden/>
              </w:rPr>
            </w:r>
            <w:r w:rsidR="006746B4">
              <w:rPr>
                <w:noProof/>
                <w:webHidden/>
              </w:rPr>
              <w:fldChar w:fldCharType="separate"/>
            </w:r>
            <w:r w:rsidR="006746B4">
              <w:rPr>
                <w:noProof/>
                <w:webHidden/>
              </w:rPr>
              <w:t>3</w:t>
            </w:r>
            <w:r w:rsidR="006746B4">
              <w:rPr>
                <w:noProof/>
                <w:webHidden/>
              </w:rPr>
              <w:fldChar w:fldCharType="end"/>
            </w:r>
          </w:hyperlink>
        </w:p>
        <w:p w14:paraId="42027A7E" w14:textId="77777777" w:rsidR="006746B4" w:rsidRDefault="008E03F3">
          <w:pPr>
            <w:pStyle w:val="Saturs2"/>
            <w:tabs>
              <w:tab w:val="right" w:leader="dot" w:pos="9062"/>
            </w:tabs>
            <w:rPr>
              <w:rFonts w:eastAsiaTheme="minorEastAsia"/>
              <w:noProof/>
              <w:lang w:val="lv-LV" w:eastAsia="lv-LV"/>
            </w:rPr>
          </w:pPr>
          <w:hyperlink w:anchor="_Toc489572870" w:history="1">
            <w:r w:rsidR="006746B4" w:rsidRPr="00FB1AA0">
              <w:rPr>
                <w:rStyle w:val="Hipersaite"/>
                <w:rFonts w:cs="Times New Roman"/>
                <w:noProof/>
                <w:lang w:val="lv-LV"/>
              </w:rPr>
              <w:t>1. pants Priekšmets un piemērošanas joma</w:t>
            </w:r>
            <w:r w:rsidR="006746B4">
              <w:rPr>
                <w:noProof/>
                <w:webHidden/>
              </w:rPr>
              <w:tab/>
            </w:r>
            <w:r w:rsidR="006746B4">
              <w:rPr>
                <w:noProof/>
                <w:webHidden/>
              </w:rPr>
              <w:fldChar w:fldCharType="begin"/>
            </w:r>
            <w:r w:rsidR="006746B4">
              <w:rPr>
                <w:noProof/>
                <w:webHidden/>
              </w:rPr>
              <w:instrText xml:space="preserve"> PAGEREF _Toc489572870 \h </w:instrText>
            </w:r>
            <w:r w:rsidR="006746B4">
              <w:rPr>
                <w:noProof/>
                <w:webHidden/>
              </w:rPr>
            </w:r>
            <w:r w:rsidR="006746B4">
              <w:rPr>
                <w:noProof/>
                <w:webHidden/>
              </w:rPr>
              <w:fldChar w:fldCharType="separate"/>
            </w:r>
            <w:r w:rsidR="006746B4">
              <w:rPr>
                <w:noProof/>
                <w:webHidden/>
              </w:rPr>
              <w:t>4</w:t>
            </w:r>
            <w:r w:rsidR="006746B4">
              <w:rPr>
                <w:noProof/>
                <w:webHidden/>
              </w:rPr>
              <w:fldChar w:fldCharType="end"/>
            </w:r>
          </w:hyperlink>
        </w:p>
        <w:p w14:paraId="74221D0B" w14:textId="77777777" w:rsidR="006746B4" w:rsidRDefault="008E03F3">
          <w:pPr>
            <w:pStyle w:val="Saturs2"/>
            <w:tabs>
              <w:tab w:val="right" w:leader="dot" w:pos="9062"/>
            </w:tabs>
            <w:rPr>
              <w:rFonts w:eastAsiaTheme="minorEastAsia"/>
              <w:noProof/>
              <w:lang w:val="lv-LV" w:eastAsia="lv-LV"/>
            </w:rPr>
          </w:pPr>
          <w:hyperlink w:anchor="_Toc489572871" w:history="1">
            <w:r w:rsidR="006746B4" w:rsidRPr="00FB1AA0">
              <w:rPr>
                <w:rStyle w:val="Hipersaite"/>
                <w:rFonts w:cs="Times New Roman"/>
                <w:noProof/>
                <w:lang w:val="lv-LV"/>
              </w:rPr>
              <w:t>2. pants Definīcijas</w:t>
            </w:r>
            <w:r w:rsidR="006746B4">
              <w:rPr>
                <w:noProof/>
                <w:webHidden/>
              </w:rPr>
              <w:tab/>
            </w:r>
            <w:r w:rsidR="006746B4">
              <w:rPr>
                <w:noProof/>
                <w:webHidden/>
              </w:rPr>
              <w:fldChar w:fldCharType="begin"/>
            </w:r>
            <w:r w:rsidR="006746B4">
              <w:rPr>
                <w:noProof/>
                <w:webHidden/>
              </w:rPr>
              <w:instrText xml:space="preserve"> PAGEREF _Toc489572871 \h </w:instrText>
            </w:r>
            <w:r w:rsidR="006746B4">
              <w:rPr>
                <w:noProof/>
                <w:webHidden/>
              </w:rPr>
            </w:r>
            <w:r w:rsidR="006746B4">
              <w:rPr>
                <w:noProof/>
                <w:webHidden/>
              </w:rPr>
              <w:fldChar w:fldCharType="separate"/>
            </w:r>
            <w:r w:rsidR="006746B4">
              <w:rPr>
                <w:noProof/>
                <w:webHidden/>
              </w:rPr>
              <w:t>4</w:t>
            </w:r>
            <w:r w:rsidR="006746B4">
              <w:rPr>
                <w:noProof/>
                <w:webHidden/>
              </w:rPr>
              <w:fldChar w:fldCharType="end"/>
            </w:r>
          </w:hyperlink>
        </w:p>
        <w:p w14:paraId="5BC13711" w14:textId="77777777" w:rsidR="006746B4" w:rsidRDefault="008E03F3">
          <w:pPr>
            <w:pStyle w:val="Saturs2"/>
            <w:tabs>
              <w:tab w:val="right" w:leader="dot" w:pos="9062"/>
            </w:tabs>
            <w:rPr>
              <w:rFonts w:eastAsiaTheme="minorEastAsia"/>
              <w:noProof/>
              <w:lang w:val="lv-LV" w:eastAsia="lv-LV"/>
            </w:rPr>
          </w:pPr>
          <w:hyperlink w:anchor="_Toc489572872" w:history="1">
            <w:r w:rsidR="006746B4" w:rsidRPr="00FB1AA0">
              <w:rPr>
                <w:rStyle w:val="Hipersaite"/>
                <w:rFonts w:cs="Times New Roman"/>
                <w:noProof/>
                <w:lang w:val="lv-LV"/>
              </w:rPr>
              <w:t>3. pants Rezerves procedūras gadījumā, kad vienotas nākamās dienas tirgus sasaistīšanas process nenes rezultātus</w:t>
            </w:r>
            <w:r w:rsidR="006746B4">
              <w:rPr>
                <w:noProof/>
                <w:webHidden/>
              </w:rPr>
              <w:tab/>
            </w:r>
            <w:r w:rsidR="006746B4">
              <w:rPr>
                <w:noProof/>
                <w:webHidden/>
              </w:rPr>
              <w:fldChar w:fldCharType="begin"/>
            </w:r>
            <w:r w:rsidR="006746B4">
              <w:rPr>
                <w:noProof/>
                <w:webHidden/>
              </w:rPr>
              <w:instrText xml:space="preserve"> PAGEREF _Toc489572872 \h </w:instrText>
            </w:r>
            <w:r w:rsidR="006746B4">
              <w:rPr>
                <w:noProof/>
                <w:webHidden/>
              </w:rPr>
            </w:r>
            <w:r w:rsidR="006746B4">
              <w:rPr>
                <w:noProof/>
                <w:webHidden/>
              </w:rPr>
              <w:fldChar w:fldCharType="separate"/>
            </w:r>
            <w:r w:rsidR="006746B4">
              <w:rPr>
                <w:noProof/>
                <w:webHidden/>
              </w:rPr>
              <w:t>4</w:t>
            </w:r>
            <w:r w:rsidR="006746B4">
              <w:rPr>
                <w:noProof/>
                <w:webHidden/>
              </w:rPr>
              <w:fldChar w:fldCharType="end"/>
            </w:r>
          </w:hyperlink>
        </w:p>
        <w:p w14:paraId="1E6A5B9F" w14:textId="77777777" w:rsidR="006746B4" w:rsidRDefault="008E03F3">
          <w:pPr>
            <w:pStyle w:val="Saturs2"/>
            <w:tabs>
              <w:tab w:val="right" w:leader="dot" w:pos="9062"/>
            </w:tabs>
            <w:rPr>
              <w:rFonts w:eastAsiaTheme="minorEastAsia"/>
              <w:noProof/>
              <w:lang w:val="lv-LV" w:eastAsia="lv-LV"/>
            </w:rPr>
          </w:pPr>
          <w:hyperlink w:anchor="_Toc489572873" w:history="1">
            <w:r w:rsidR="006746B4" w:rsidRPr="00FB1AA0">
              <w:rPr>
                <w:rStyle w:val="Hipersaite"/>
                <w:rFonts w:cs="Times New Roman"/>
                <w:noProof/>
                <w:lang w:val="lv-LV"/>
              </w:rPr>
              <w:t>4. pants Rezerves procedūru priekšlikuma publicēšana un ieviešana</w:t>
            </w:r>
            <w:r w:rsidR="006746B4">
              <w:rPr>
                <w:noProof/>
                <w:webHidden/>
              </w:rPr>
              <w:tab/>
            </w:r>
            <w:r w:rsidR="006746B4">
              <w:rPr>
                <w:noProof/>
                <w:webHidden/>
              </w:rPr>
              <w:fldChar w:fldCharType="begin"/>
            </w:r>
            <w:r w:rsidR="006746B4">
              <w:rPr>
                <w:noProof/>
                <w:webHidden/>
              </w:rPr>
              <w:instrText xml:space="preserve"> PAGEREF _Toc489572873 \h </w:instrText>
            </w:r>
            <w:r w:rsidR="006746B4">
              <w:rPr>
                <w:noProof/>
                <w:webHidden/>
              </w:rPr>
            </w:r>
            <w:r w:rsidR="006746B4">
              <w:rPr>
                <w:noProof/>
                <w:webHidden/>
              </w:rPr>
              <w:fldChar w:fldCharType="separate"/>
            </w:r>
            <w:r w:rsidR="006746B4">
              <w:rPr>
                <w:noProof/>
                <w:webHidden/>
              </w:rPr>
              <w:t>5</w:t>
            </w:r>
            <w:r w:rsidR="006746B4">
              <w:rPr>
                <w:noProof/>
                <w:webHidden/>
              </w:rPr>
              <w:fldChar w:fldCharType="end"/>
            </w:r>
          </w:hyperlink>
        </w:p>
        <w:p w14:paraId="7149B16F" w14:textId="77777777" w:rsidR="006746B4" w:rsidRDefault="008E03F3">
          <w:pPr>
            <w:pStyle w:val="Saturs2"/>
            <w:tabs>
              <w:tab w:val="right" w:leader="dot" w:pos="9062"/>
            </w:tabs>
            <w:rPr>
              <w:rFonts w:eastAsiaTheme="minorEastAsia"/>
              <w:noProof/>
              <w:lang w:val="lv-LV" w:eastAsia="lv-LV"/>
            </w:rPr>
          </w:pPr>
          <w:hyperlink w:anchor="_Toc489572874" w:history="1">
            <w:r w:rsidR="006746B4" w:rsidRPr="00FB1AA0">
              <w:rPr>
                <w:rStyle w:val="Hipersaite"/>
                <w:rFonts w:cs="Times New Roman"/>
                <w:noProof/>
                <w:lang w:val="lv-LV"/>
              </w:rPr>
              <w:t>5. pants Valoda</w:t>
            </w:r>
            <w:r w:rsidR="006746B4">
              <w:rPr>
                <w:noProof/>
                <w:webHidden/>
              </w:rPr>
              <w:tab/>
            </w:r>
            <w:r w:rsidR="006746B4">
              <w:rPr>
                <w:noProof/>
                <w:webHidden/>
              </w:rPr>
              <w:fldChar w:fldCharType="begin"/>
            </w:r>
            <w:r w:rsidR="006746B4">
              <w:rPr>
                <w:noProof/>
                <w:webHidden/>
              </w:rPr>
              <w:instrText xml:space="preserve"> PAGEREF _Toc489572874 \h </w:instrText>
            </w:r>
            <w:r w:rsidR="006746B4">
              <w:rPr>
                <w:noProof/>
                <w:webHidden/>
              </w:rPr>
            </w:r>
            <w:r w:rsidR="006746B4">
              <w:rPr>
                <w:noProof/>
                <w:webHidden/>
              </w:rPr>
              <w:fldChar w:fldCharType="separate"/>
            </w:r>
            <w:r w:rsidR="006746B4">
              <w:rPr>
                <w:noProof/>
                <w:webHidden/>
              </w:rPr>
              <w:t>5</w:t>
            </w:r>
            <w:r w:rsidR="006746B4">
              <w:rPr>
                <w:noProof/>
                <w:webHidden/>
              </w:rPr>
              <w:fldChar w:fldCharType="end"/>
            </w:r>
          </w:hyperlink>
        </w:p>
        <w:p w14:paraId="7927E640" w14:textId="25EEA1AF" w:rsidR="00385568" w:rsidRPr="00944992" w:rsidRDefault="00385568">
          <w:pPr>
            <w:rPr>
              <w:lang w:val="lv-LV"/>
            </w:rPr>
          </w:pPr>
          <w:r w:rsidRPr="00944992">
            <w:rPr>
              <w:rFonts w:ascii="Times New Roman" w:hAnsi="Times New Roman" w:cs="Times New Roman"/>
              <w:b/>
              <w:bCs/>
              <w:noProof/>
              <w:lang w:val="lv-LV"/>
            </w:rPr>
            <w:fldChar w:fldCharType="end"/>
          </w:r>
        </w:p>
      </w:sdtContent>
    </w:sdt>
    <w:p w14:paraId="19C9AD28" w14:textId="77777777" w:rsidR="00385568" w:rsidRPr="00944992" w:rsidRDefault="00385568" w:rsidP="003A3F72">
      <w:pPr>
        <w:pStyle w:val="headline2"/>
        <w:spacing w:line="276" w:lineRule="auto"/>
        <w:rPr>
          <w:sz w:val="28"/>
          <w:szCs w:val="28"/>
          <w:lang w:val="lv-LV"/>
        </w:rPr>
      </w:pPr>
    </w:p>
    <w:p w14:paraId="6904A84D" w14:textId="03F3246A" w:rsidR="00385568" w:rsidRPr="00944992" w:rsidRDefault="00BD3DC6" w:rsidP="00BD3DC6">
      <w:pPr>
        <w:pStyle w:val="headline2"/>
        <w:tabs>
          <w:tab w:val="left" w:pos="2644"/>
        </w:tabs>
        <w:spacing w:line="276" w:lineRule="auto"/>
        <w:jc w:val="left"/>
        <w:rPr>
          <w:sz w:val="28"/>
          <w:szCs w:val="28"/>
          <w:lang w:val="lv-LV"/>
        </w:rPr>
      </w:pPr>
      <w:r>
        <w:rPr>
          <w:sz w:val="28"/>
          <w:szCs w:val="28"/>
          <w:lang w:val="lv-LV"/>
        </w:rPr>
        <w:tab/>
      </w:r>
    </w:p>
    <w:p w14:paraId="72B98AD4" w14:textId="4D0A3B3B" w:rsidR="00385568" w:rsidRPr="00944992" w:rsidRDefault="00D66518" w:rsidP="00D66518">
      <w:pPr>
        <w:pStyle w:val="headline2"/>
        <w:tabs>
          <w:tab w:val="left" w:pos="5190"/>
        </w:tabs>
        <w:spacing w:line="276" w:lineRule="auto"/>
        <w:jc w:val="left"/>
        <w:rPr>
          <w:sz w:val="28"/>
          <w:szCs w:val="28"/>
          <w:lang w:val="lv-LV"/>
        </w:rPr>
      </w:pPr>
      <w:r>
        <w:rPr>
          <w:sz w:val="28"/>
          <w:szCs w:val="28"/>
          <w:lang w:val="lv-LV"/>
        </w:rPr>
        <w:tab/>
      </w:r>
    </w:p>
    <w:p w14:paraId="7E324E45" w14:textId="2DA04ACB" w:rsidR="00385568" w:rsidRPr="00944992" w:rsidRDefault="00D54454" w:rsidP="00D54454">
      <w:pPr>
        <w:spacing w:after="200" w:line="276" w:lineRule="auto"/>
        <w:rPr>
          <w:rFonts w:ascii="Times New Roman" w:hAnsi="Times New Roman" w:cstheme="majorHAnsi"/>
          <w:b/>
          <w:color w:val="1F497D" w:themeColor="text2"/>
          <w:sz w:val="28"/>
          <w:szCs w:val="28"/>
          <w:lang w:val="lv-LV"/>
        </w:rPr>
      </w:pPr>
      <w:r w:rsidRPr="00944992">
        <w:rPr>
          <w:sz w:val="28"/>
          <w:szCs w:val="28"/>
          <w:lang w:val="lv-LV"/>
        </w:rPr>
        <w:br w:type="page"/>
      </w:r>
    </w:p>
    <w:p w14:paraId="426223FF" w14:textId="77777777" w:rsidR="00366907" w:rsidRPr="00944992" w:rsidRDefault="00366907" w:rsidP="009C6F86">
      <w:pPr>
        <w:pStyle w:val="headline2"/>
        <w:rPr>
          <w:lang w:val="lv-LV"/>
        </w:rPr>
      </w:pPr>
    </w:p>
    <w:p w14:paraId="4A0BBF62" w14:textId="49AC48B1" w:rsidR="00366907" w:rsidRPr="00944992" w:rsidRDefault="003B05F4" w:rsidP="00514676">
      <w:pPr>
        <w:jc w:val="both"/>
        <w:rPr>
          <w:rFonts w:ascii="Times New Roman" w:hAnsi="Times New Roman" w:cs="Times New Roman"/>
          <w:lang w:val="lv-LV"/>
        </w:rPr>
      </w:pPr>
      <w:r w:rsidRPr="00944992">
        <w:rPr>
          <w:rFonts w:ascii="Times New Roman" w:hAnsi="Times New Roman" w:cs="Times New Roman"/>
          <w:lang w:val="lv-LV"/>
        </w:rPr>
        <w:t xml:space="preserve">Visi Baltijas jaudas aprēķināšanas reģiona PSO, </w:t>
      </w:r>
      <w:r w:rsidR="00505EC9" w:rsidRPr="00944992">
        <w:rPr>
          <w:rFonts w:ascii="Times New Roman" w:hAnsi="Times New Roman" w:cs="Times New Roman"/>
          <w:lang w:val="lv-LV"/>
        </w:rPr>
        <w:t>ievērojot</w:t>
      </w:r>
      <w:r w:rsidRPr="00944992">
        <w:rPr>
          <w:rFonts w:ascii="Times New Roman" w:hAnsi="Times New Roman" w:cs="Times New Roman"/>
          <w:lang w:val="lv-LV"/>
        </w:rPr>
        <w:t xml:space="preserve"> šo:</w:t>
      </w:r>
    </w:p>
    <w:p w14:paraId="3FB9F2F6" w14:textId="34CB84DE" w:rsidR="00366907" w:rsidRPr="00944992" w:rsidRDefault="003B05F4" w:rsidP="00514676">
      <w:pPr>
        <w:pStyle w:val="headline1"/>
        <w:spacing w:after="0"/>
        <w:rPr>
          <w:rFonts w:cs="Times New Roman"/>
          <w:sz w:val="22"/>
          <w:szCs w:val="22"/>
          <w:lang w:val="lv-LV"/>
        </w:rPr>
      </w:pPr>
      <w:bookmarkStart w:id="7" w:name="_Toc432586767"/>
      <w:bookmarkStart w:id="8" w:name="_Toc432586787"/>
      <w:bookmarkStart w:id="9" w:name="_Toc464485816"/>
      <w:bookmarkStart w:id="10" w:name="_Toc474830498"/>
      <w:bookmarkStart w:id="11" w:name="_Toc489572869"/>
      <w:r w:rsidRPr="00944992">
        <w:rPr>
          <w:rFonts w:cs="Times New Roman"/>
          <w:sz w:val="22"/>
          <w:szCs w:val="22"/>
          <w:lang w:val="lv-LV"/>
        </w:rPr>
        <w:t>Tā kā</w:t>
      </w:r>
      <w:bookmarkEnd w:id="7"/>
      <w:bookmarkEnd w:id="8"/>
      <w:bookmarkEnd w:id="9"/>
      <w:bookmarkEnd w:id="10"/>
      <w:bookmarkEnd w:id="11"/>
    </w:p>
    <w:p w14:paraId="399B9B16" w14:textId="684ADFA1" w:rsidR="00366907" w:rsidRPr="00944992" w:rsidRDefault="00505EC9" w:rsidP="00197B62">
      <w:pPr>
        <w:pStyle w:val="Sarakstarindkopa"/>
        <w:numPr>
          <w:ilvl w:val="0"/>
          <w:numId w:val="7"/>
        </w:numPr>
        <w:spacing w:after="120" w:line="259" w:lineRule="auto"/>
        <w:ind w:left="1080" w:hanging="720"/>
        <w:rPr>
          <w:rFonts w:ascii="Times New Roman" w:hAnsi="Times New Roman" w:cs="Times New Roman"/>
          <w:lang w:val="lv-LV"/>
        </w:rPr>
      </w:pPr>
      <w:r w:rsidRPr="00944992">
        <w:rPr>
          <w:rFonts w:ascii="Times New Roman" w:hAnsi="Times New Roman" w:cs="Times New Roman"/>
          <w:lang w:val="lv-LV"/>
        </w:rPr>
        <w:t>Šis dokuments ir kopīgs priekšlikums, kuru izstrādājuši Baltijas jaudas aprēķināšanas reģiona (turpmāk – “Baltijas JAR”) pārvades sistēmu operatori (turpmāk – “PSO”) par rezerves procedūru izstrādi (turpmāk – “Rezerves procedūras”)</w:t>
      </w:r>
      <w:r w:rsidR="00944992" w:rsidRPr="00944992">
        <w:rPr>
          <w:rFonts w:ascii="Times New Roman" w:hAnsi="Times New Roman" w:cs="Times New Roman"/>
          <w:lang w:val="lv-LV"/>
        </w:rPr>
        <w:t xml:space="preserve"> saskaņā ar Komisijas Regulas (ES) 2015/1222, ar ko izveido jaudas piešķiršanas un pārslodzes vadības vadlīnijas (turpmāk “Regula 2015/1222”), 44. pantu. Šis priekšlikums turpmāk dēvēts par “Rez</w:t>
      </w:r>
      <w:r w:rsidR="00C70857">
        <w:rPr>
          <w:rFonts w:ascii="Times New Roman" w:hAnsi="Times New Roman" w:cs="Times New Roman"/>
          <w:lang w:val="lv-LV"/>
        </w:rPr>
        <w:t>e</w:t>
      </w:r>
      <w:r w:rsidR="00944992" w:rsidRPr="00944992">
        <w:rPr>
          <w:rFonts w:ascii="Times New Roman" w:hAnsi="Times New Roman" w:cs="Times New Roman"/>
          <w:lang w:val="lv-LV"/>
        </w:rPr>
        <w:t>rves procedūru priekšlikumu”</w:t>
      </w:r>
      <w:r w:rsidR="00366907" w:rsidRPr="00944992">
        <w:rPr>
          <w:rFonts w:ascii="Times New Roman" w:hAnsi="Times New Roman" w:cs="Times New Roman"/>
          <w:lang w:val="lv-LV"/>
        </w:rPr>
        <w:t xml:space="preserve">. </w:t>
      </w:r>
    </w:p>
    <w:p w14:paraId="447BAC5A" w14:textId="77777777" w:rsidR="00514676" w:rsidRPr="00944992" w:rsidRDefault="00514676" w:rsidP="00197B62">
      <w:pPr>
        <w:pStyle w:val="Sarakstarindkopa"/>
        <w:spacing w:after="120" w:line="259" w:lineRule="auto"/>
        <w:ind w:left="1080"/>
        <w:rPr>
          <w:rFonts w:ascii="Times New Roman" w:hAnsi="Times New Roman" w:cs="Times New Roman"/>
          <w:lang w:val="lv-LV"/>
        </w:rPr>
      </w:pPr>
    </w:p>
    <w:p w14:paraId="44BA75DD" w14:textId="10E2817E" w:rsidR="00514676" w:rsidRPr="00944992" w:rsidRDefault="00C70857" w:rsidP="00197B62">
      <w:pPr>
        <w:pStyle w:val="Sarakstarindkopa"/>
        <w:numPr>
          <w:ilvl w:val="0"/>
          <w:numId w:val="7"/>
        </w:numPr>
        <w:spacing w:after="120" w:line="259" w:lineRule="auto"/>
        <w:ind w:left="1080" w:hanging="720"/>
        <w:rPr>
          <w:rFonts w:ascii="Times New Roman" w:hAnsi="Times New Roman" w:cs="Times New Roman"/>
          <w:lang w:val="lv-LV"/>
        </w:rPr>
      </w:pPr>
      <w:r w:rsidRPr="00944992">
        <w:rPr>
          <w:rFonts w:ascii="Times New Roman" w:hAnsi="Times New Roman" w:cs="Times New Roman"/>
          <w:lang w:val="lv-LV"/>
        </w:rPr>
        <w:t>Rez</w:t>
      </w:r>
      <w:r>
        <w:rPr>
          <w:rFonts w:ascii="Times New Roman" w:hAnsi="Times New Roman" w:cs="Times New Roman"/>
          <w:lang w:val="lv-LV"/>
        </w:rPr>
        <w:t>e</w:t>
      </w:r>
      <w:r w:rsidRPr="00944992">
        <w:rPr>
          <w:rFonts w:ascii="Times New Roman" w:hAnsi="Times New Roman" w:cs="Times New Roman"/>
          <w:lang w:val="lv-LV"/>
        </w:rPr>
        <w:t>rves procedūru priekšlikum</w:t>
      </w:r>
      <w:r>
        <w:rPr>
          <w:rFonts w:ascii="Times New Roman" w:hAnsi="Times New Roman" w:cs="Times New Roman"/>
          <w:lang w:val="lv-LV"/>
        </w:rPr>
        <w:t xml:space="preserve">s </w:t>
      </w:r>
      <w:r w:rsidRPr="00C70857">
        <w:rPr>
          <w:rFonts w:ascii="Times New Roman" w:hAnsi="Times New Roman" w:cs="Times New Roman"/>
          <w:lang w:val="lv-LV"/>
        </w:rPr>
        <w:t>ņem vērā vispārīgos principus un mērķus, kas noteikti Komisijas Regulā 2015/1222,</w:t>
      </w:r>
      <w:r>
        <w:rPr>
          <w:rFonts w:ascii="Times New Roman" w:hAnsi="Times New Roman" w:cs="Times New Roman"/>
          <w:lang w:val="lv-LV"/>
        </w:rPr>
        <w:t xml:space="preserve"> </w:t>
      </w:r>
      <w:r w:rsidRPr="00C70857">
        <w:rPr>
          <w:rFonts w:ascii="Times New Roman" w:hAnsi="Times New Roman" w:cs="Times New Roman"/>
          <w:lang w:val="lv-LV"/>
        </w:rPr>
        <w:t>kā arī Eiropas Parlamenta un Padomes Regulā (EK) Nr.</w:t>
      </w:r>
      <w:r w:rsidR="0030116B">
        <w:rPr>
          <w:rFonts w:ascii="Times New Roman" w:hAnsi="Times New Roman" w:cs="Times New Roman"/>
          <w:lang w:val="lv-LV"/>
        </w:rPr>
        <w:t> </w:t>
      </w:r>
      <w:r w:rsidRPr="00C70857">
        <w:rPr>
          <w:rFonts w:ascii="Times New Roman" w:hAnsi="Times New Roman" w:cs="Times New Roman"/>
          <w:lang w:val="lv-LV"/>
        </w:rPr>
        <w:t>714/2009 par nosacījumiem attiecībā uz piekļuvi tīklam elektroenerģijas pārrobežu tirdzniecībā (turpmāk “Regula Nr.</w:t>
      </w:r>
      <w:r w:rsidR="0030116B">
        <w:rPr>
          <w:rFonts w:ascii="Times New Roman" w:hAnsi="Times New Roman" w:cs="Times New Roman"/>
          <w:lang w:val="lv-LV"/>
        </w:rPr>
        <w:t> </w:t>
      </w:r>
      <w:r w:rsidRPr="00C70857">
        <w:rPr>
          <w:rFonts w:ascii="Times New Roman" w:hAnsi="Times New Roman" w:cs="Times New Roman"/>
          <w:lang w:val="lv-LV"/>
        </w:rPr>
        <w:t>714/2009”)</w:t>
      </w:r>
      <w:r>
        <w:rPr>
          <w:rFonts w:ascii="Times New Roman" w:hAnsi="Times New Roman" w:cs="Times New Roman"/>
          <w:lang w:val="lv-LV"/>
        </w:rPr>
        <w:t xml:space="preserve">. </w:t>
      </w:r>
      <w:r w:rsidRPr="00C70857">
        <w:rPr>
          <w:rFonts w:ascii="Times New Roman" w:hAnsi="Times New Roman" w:cs="Times New Roman"/>
          <w:lang w:val="lv-LV"/>
        </w:rPr>
        <w:t>Regulas</w:t>
      </w:r>
      <w:r w:rsidR="0030116B">
        <w:rPr>
          <w:rFonts w:ascii="Times New Roman" w:hAnsi="Times New Roman" w:cs="Times New Roman"/>
          <w:lang w:val="lv-LV"/>
        </w:rPr>
        <w:t> </w:t>
      </w:r>
      <w:r w:rsidRPr="00C70857">
        <w:rPr>
          <w:rFonts w:ascii="Times New Roman" w:hAnsi="Times New Roman" w:cs="Times New Roman"/>
          <w:lang w:val="lv-LV"/>
        </w:rPr>
        <w:t>2015/1222 mērķis ir jaudas aprēķināšanas un jaudas piešķiršanas koordinēšana un saskaņošana nākamās dienas un t</w:t>
      </w:r>
      <w:r>
        <w:rPr>
          <w:rFonts w:ascii="Times New Roman" w:hAnsi="Times New Roman" w:cs="Times New Roman"/>
          <w:lang w:val="lv-LV"/>
        </w:rPr>
        <w:t>ekošās dienas pārrobežu tirgos. Šim nolūkam tā nosaka prasības</w:t>
      </w:r>
      <w:r w:rsidR="003E06EE">
        <w:rPr>
          <w:rFonts w:ascii="Times New Roman" w:hAnsi="Times New Roman" w:cs="Times New Roman"/>
          <w:lang w:val="lv-LV"/>
        </w:rPr>
        <w:t xml:space="preserve"> uzticamām un savlaicīgi piemērojamām rezerves procedūrām, kas n</w:t>
      </w:r>
      <w:r w:rsidR="00A45383">
        <w:rPr>
          <w:rFonts w:ascii="Times New Roman" w:hAnsi="Times New Roman" w:cs="Times New Roman"/>
          <w:lang w:val="lv-LV"/>
        </w:rPr>
        <w:t>odrošin</w:t>
      </w:r>
      <w:r w:rsidR="003E06EE">
        <w:rPr>
          <w:rFonts w:ascii="Times New Roman" w:hAnsi="Times New Roman" w:cs="Times New Roman"/>
          <w:lang w:val="lv-LV"/>
        </w:rPr>
        <w:t>a</w:t>
      </w:r>
      <w:r w:rsidR="00A45383">
        <w:rPr>
          <w:rFonts w:ascii="Times New Roman" w:hAnsi="Times New Roman" w:cs="Times New Roman"/>
          <w:lang w:val="lv-LV"/>
        </w:rPr>
        <w:t xml:space="preserve"> efektīvu, pārredzamu un nediskriminējošu jaudas piešķiršanu</w:t>
      </w:r>
      <w:r w:rsidR="003E06EE">
        <w:rPr>
          <w:rFonts w:ascii="Times New Roman" w:hAnsi="Times New Roman" w:cs="Times New Roman"/>
          <w:lang w:val="lv-LV"/>
        </w:rPr>
        <w:t xml:space="preserve">, ja </w:t>
      </w:r>
      <w:r w:rsidR="00A45383" w:rsidRPr="00A45383">
        <w:rPr>
          <w:rFonts w:ascii="Times New Roman" w:hAnsi="Times New Roman" w:cs="Times New Roman"/>
          <w:lang w:val="lv-LV"/>
        </w:rPr>
        <w:t>vienota</w:t>
      </w:r>
      <w:r w:rsidR="003E06EE">
        <w:rPr>
          <w:rFonts w:ascii="Times New Roman" w:hAnsi="Times New Roman" w:cs="Times New Roman"/>
          <w:lang w:val="lv-LV"/>
        </w:rPr>
        <w:t>jā</w:t>
      </w:r>
      <w:r w:rsidR="00A45383" w:rsidRPr="00A45383">
        <w:rPr>
          <w:rFonts w:ascii="Times New Roman" w:hAnsi="Times New Roman" w:cs="Times New Roman"/>
          <w:lang w:val="lv-LV"/>
        </w:rPr>
        <w:t xml:space="preserve"> nākamās dienas tirgus sasaistīšana</w:t>
      </w:r>
      <w:r w:rsidR="003E06EE">
        <w:rPr>
          <w:rFonts w:ascii="Times New Roman" w:hAnsi="Times New Roman" w:cs="Times New Roman"/>
          <w:lang w:val="lv-LV"/>
        </w:rPr>
        <w:t>s procesā nav iespējams gūt rezultātus, sauktām</w:t>
      </w:r>
      <w:r w:rsidR="00A45383">
        <w:rPr>
          <w:rFonts w:ascii="Times New Roman" w:hAnsi="Times New Roman" w:cs="Times New Roman"/>
          <w:lang w:val="lv-LV"/>
        </w:rPr>
        <w:t xml:space="preserve"> par Rezerves procedūrām</w:t>
      </w:r>
      <w:r w:rsidR="00366907" w:rsidRPr="00944992">
        <w:rPr>
          <w:rFonts w:ascii="Times New Roman" w:hAnsi="Times New Roman" w:cs="Times New Roman"/>
          <w:lang w:val="lv-LV"/>
        </w:rPr>
        <w:t>.</w:t>
      </w:r>
    </w:p>
    <w:p w14:paraId="578FDA67" w14:textId="77777777" w:rsidR="00514676" w:rsidRPr="00944992" w:rsidRDefault="00514676" w:rsidP="00197B62">
      <w:pPr>
        <w:pStyle w:val="Sarakstarindkopa"/>
        <w:spacing w:after="120" w:line="259" w:lineRule="auto"/>
        <w:ind w:left="1080"/>
        <w:rPr>
          <w:rFonts w:ascii="Times New Roman" w:hAnsi="Times New Roman" w:cs="Times New Roman"/>
          <w:lang w:val="lv-LV"/>
        </w:rPr>
      </w:pPr>
    </w:p>
    <w:p w14:paraId="7BCDCFD8" w14:textId="4F201E7B" w:rsidR="0050721E" w:rsidRPr="00944992" w:rsidRDefault="00416462" w:rsidP="00197B62">
      <w:pPr>
        <w:pStyle w:val="Sarakstarindkopa"/>
        <w:numPr>
          <w:ilvl w:val="0"/>
          <w:numId w:val="7"/>
        </w:numPr>
        <w:spacing w:after="120" w:line="259" w:lineRule="auto"/>
        <w:ind w:left="1080" w:hanging="720"/>
        <w:rPr>
          <w:rFonts w:ascii="Times New Roman" w:hAnsi="Times New Roman" w:cs="Times New Roman"/>
          <w:lang w:val="lv-LV"/>
        </w:rPr>
      </w:pPr>
      <w:r>
        <w:rPr>
          <w:rFonts w:ascii="Times New Roman" w:hAnsi="Times New Roman" w:cs="Times New Roman"/>
          <w:lang w:val="lv-LV"/>
        </w:rPr>
        <w:t xml:space="preserve">Saskaņā ar </w:t>
      </w:r>
      <w:r w:rsidR="00A45383" w:rsidRPr="00A45383">
        <w:rPr>
          <w:rFonts w:ascii="Times New Roman" w:hAnsi="Times New Roman" w:cs="Times New Roman"/>
          <w:lang w:val="lv-LV"/>
        </w:rPr>
        <w:t>Regulas 2015/1222 9. panta 9. punkt</w:t>
      </w:r>
      <w:r>
        <w:rPr>
          <w:rFonts w:ascii="Times New Roman" w:hAnsi="Times New Roman" w:cs="Times New Roman"/>
          <w:lang w:val="lv-LV"/>
        </w:rPr>
        <w:t>u</w:t>
      </w:r>
      <w:r w:rsidR="00A45383" w:rsidRPr="00A45383">
        <w:rPr>
          <w:rFonts w:ascii="Times New Roman" w:hAnsi="Times New Roman" w:cs="Times New Roman"/>
          <w:lang w:val="lv-LV"/>
        </w:rPr>
        <w:t xml:space="preserve">, </w:t>
      </w:r>
      <w:r>
        <w:rPr>
          <w:rFonts w:ascii="Times New Roman" w:hAnsi="Times New Roman" w:cs="Times New Roman"/>
          <w:lang w:val="lv-LV"/>
        </w:rPr>
        <w:t>jāa</w:t>
      </w:r>
      <w:r w:rsidR="00A45383" w:rsidRPr="00A45383">
        <w:rPr>
          <w:rFonts w:ascii="Times New Roman" w:hAnsi="Times New Roman" w:cs="Times New Roman"/>
          <w:lang w:val="lv-LV"/>
        </w:rPr>
        <w:t xml:space="preserve">praksta </w:t>
      </w:r>
      <w:r w:rsidR="00A45383">
        <w:rPr>
          <w:rFonts w:ascii="Times New Roman" w:hAnsi="Times New Roman" w:cs="Times New Roman"/>
          <w:lang w:val="lv-LV"/>
        </w:rPr>
        <w:t xml:space="preserve">ierosināto rezerves procedūru </w:t>
      </w:r>
      <w:r w:rsidR="00A45383" w:rsidRPr="00A45383">
        <w:rPr>
          <w:rFonts w:ascii="Times New Roman" w:hAnsi="Times New Roman" w:cs="Times New Roman"/>
          <w:lang w:val="lv-LV"/>
        </w:rPr>
        <w:t xml:space="preserve">sagaidāmā ietekme uz Regulas 2015/1222 mērķiem. </w:t>
      </w:r>
      <w:r>
        <w:rPr>
          <w:rFonts w:ascii="Times New Roman" w:hAnsi="Times New Roman" w:cs="Times New Roman"/>
          <w:lang w:val="lv-LV"/>
        </w:rPr>
        <w:t>Šī i</w:t>
      </w:r>
      <w:r w:rsidR="00A45383" w:rsidRPr="00A45383">
        <w:rPr>
          <w:rFonts w:ascii="Times New Roman" w:hAnsi="Times New Roman" w:cs="Times New Roman"/>
          <w:lang w:val="lv-LV"/>
        </w:rPr>
        <w:t>etekme ir aprakstīta zemāk</w:t>
      </w:r>
      <w:r w:rsidR="00A45383">
        <w:rPr>
          <w:rFonts w:ascii="Times New Roman" w:hAnsi="Times New Roman" w:cs="Times New Roman"/>
          <w:lang w:val="lv-LV"/>
        </w:rPr>
        <w:t>.</w:t>
      </w:r>
      <w:r w:rsidR="0050721E" w:rsidRPr="00944992">
        <w:rPr>
          <w:rFonts w:ascii="Times New Roman" w:hAnsi="Times New Roman" w:cs="Times New Roman"/>
          <w:lang w:val="lv-LV"/>
        </w:rPr>
        <w:t xml:space="preserve"> </w:t>
      </w:r>
    </w:p>
    <w:p w14:paraId="69A2A691" w14:textId="77777777" w:rsidR="00514676" w:rsidRPr="00944992" w:rsidRDefault="00514676" w:rsidP="00DE1DD1">
      <w:pPr>
        <w:pStyle w:val="Sarakstarindkopa"/>
        <w:spacing w:after="120" w:line="259" w:lineRule="auto"/>
        <w:ind w:left="1080"/>
        <w:rPr>
          <w:rFonts w:ascii="Times New Roman" w:hAnsi="Times New Roman" w:cs="Times New Roman"/>
          <w:lang w:val="lv-LV"/>
        </w:rPr>
      </w:pPr>
    </w:p>
    <w:p w14:paraId="7D23577C" w14:textId="333F6ACA" w:rsidR="00514676" w:rsidRPr="00944992" w:rsidRDefault="00197B62" w:rsidP="00DE1DD1">
      <w:pPr>
        <w:pStyle w:val="Sarakstarindkopa"/>
        <w:numPr>
          <w:ilvl w:val="0"/>
          <w:numId w:val="7"/>
        </w:numPr>
        <w:spacing w:after="120" w:line="259" w:lineRule="auto"/>
        <w:ind w:left="1080" w:hanging="720"/>
        <w:rPr>
          <w:rFonts w:ascii="Times New Roman" w:hAnsi="Times New Roman" w:cs="Times New Roman"/>
          <w:lang w:val="lv-LV"/>
        </w:rPr>
      </w:pPr>
      <w:r>
        <w:rPr>
          <w:rFonts w:ascii="Times New Roman" w:hAnsi="Times New Roman" w:cs="Times New Roman"/>
          <w:lang w:val="lv-LV"/>
        </w:rPr>
        <w:t xml:space="preserve">Saskaņā ar </w:t>
      </w:r>
      <w:r w:rsidRPr="00A45383">
        <w:rPr>
          <w:rFonts w:ascii="Times New Roman" w:hAnsi="Times New Roman" w:cs="Times New Roman"/>
          <w:lang w:val="lv-LV"/>
        </w:rPr>
        <w:t>Regulas 2015/1222 9. panta 9. punkt</w:t>
      </w:r>
      <w:r>
        <w:rPr>
          <w:rFonts w:ascii="Times New Roman" w:hAnsi="Times New Roman" w:cs="Times New Roman"/>
          <w:lang w:val="lv-LV"/>
        </w:rPr>
        <w:t xml:space="preserve">u, ierosinātās Rezerves procedūras Baltijas JAR sekmē un nekādi nekavē </w:t>
      </w:r>
      <w:r w:rsidRPr="00197B62">
        <w:rPr>
          <w:rFonts w:ascii="Times New Roman" w:hAnsi="Times New Roman" w:cs="Times New Roman"/>
          <w:lang w:val="lv-LV"/>
        </w:rPr>
        <w:t>Regulas 2015/1222 3. pantā izvirzīto mērķu sasniegšanu</w:t>
      </w:r>
      <w:r>
        <w:rPr>
          <w:rFonts w:ascii="Times New Roman" w:hAnsi="Times New Roman" w:cs="Times New Roman"/>
          <w:lang w:val="lv-LV"/>
        </w:rPr>
        <w:t xml:space="preserve">. Rezerves procedūras nodrošina pārredzamu un nediskriminējošu pieeju starpzonu jaudas piešķiršanai, </w:t>
      </w:r>
      <w:r w:rsidR="003E06EE">
        <w:rPr>
          <w:rFonts w:ascii="Times New Roman" w:hAnsi="Times New Roman" w:cs="Times New Roman"/>
          <w:lang w:val="lv-LV"/>
        </w:rPr>
        <w:t xml:space="preserve">ja </w:t>
      </w:r>
      <w:r w:rsidR="003E06EE" w:rsidRPr="00A45383">
        <w:rPr>
          <w:rFonts w:ascii="Times New Roman" w:hAnsi="Times New Roman" w:cs="Times New Roman"/>
          <w:lang w:val="lv-LV"/>
        </w:rPr>
        <w:t>vienota</w:t>
      </w:r>
      <w:r w:rsidR="003E06EE">
        <w:rPr>
          <w:rFonts w:ascii="Times New Roman" w:hAnsi="Times New Roman" w:cs="Times New Roman"/>
          <w:lang w:val="lv-LV"/>
        </w:rPr>
        <w:t>jā</w:t>
      </w:r>
      <w:r w:rsidR="003E06EE" w:rsidRPr="00A45383">
        <w:rPr>
          <w:rFonts w:ascii="Times New Roman" w:hAnsi="Times New Roman" w:cs="Times New Roman"/>
          <w:lang w:val="lv-LV"/>
        </w:rPr>
        <w:t xml:space="preserve"> nākamās dienas tirgus sasaistīšana</w:t>
      </w:r>
      <w:r w:rsidR="003E06EE">
        <w:rPr>
          <w:rFonts w:ascii="Times New Roman" w:hAnsi="Times New Roman" w:cs="Times New Roman"/>
          <w:lang w:val="lv-LV"/>
        </w:rPr>
        <w:t>s procesā nav iespējams gūt rezultātus</w:t>
      </w:r>
      <w:r>
        <w:rPr>
          <w:rFonts w:ascii="Times New Roman" w:hAnsi="Times New Roman" w:cs="Times New Roman"/>
          <w:lang w:val="lv-LV"/>
        </w:rPr>
        <w:t>.</w:t>
      </w:r>
      <w:r w:rsidR="00DE1A8A" w:rsidRPr="00944992">
        <w:rPr>
          <w:rFonts w:ascii="Times New Roman" w:hAnsi="Times New Roman" w:cs="Times New Roman"/>
          <w:lang w:val="lv-LV"/>
        </w:rPr>
        <w:t xml:space="preserve"> </w:t>
      </w:r>
      <w:r>
        <w:rPr>
          <w:rFonts w:ascii="Times New Roman" w:hAnsi="Times New Roman" w:cs="Times New Roman"/>
          <w:lang w:val="lv-LV"/>
        </w:rPr>
        <w:t>Tirgus dalībniekiem vienlaicīgi un pārredzami būs pieejama viena uzticama informācija par starpzonu jaudām un jaudas piešķiršanas ierobežojumiem nākamās dienas piešķīrumiem</w:t>
      </w:r>
      <w:r w:rsidR="00DE1DD1">
        <w:rPr>
          <w:rFonts w:ascii="Times New Roman" w:hAnsi="Times New Roman" w:cs="Times New Roman"/>
          <w:lang w:val="lv-LV"/>
        </w:rPr>
        <w:t xml:space="preserve">. Tas veicina Regulas 2015/1222 mērķi </w:t>
      </w:r>
      <w:r w:rsidR="00DE1DD1" w:rsidRPr="00DE1DD1">
        <w:rPr>
          <w:rFonts w:ascii="Times New Roman" w:hAnsi="Times New Roman" w:cs="Times New Roman"/>
          <w:lang w:val="lv-LV"/>
        </w:rPr>
        <w:t>nodrošināt un uzlabot pārredzamību un informācijas ticamību</w:t>
      </w:r>
      <w:r w:rsidR="00DE1A8A" w:rsidRPr="00944992">
        <w:rPr>
          <w:rFonts w:ascii="Times New Roman" w:hAnsi="Times New Roman" w:cs="Times New Roman"/>
          <w:lang w:val="lv-LV"/>
        </w:rPr>
        <w:t>.</w:t>
      </w:r>
    </w:p>
    <w:p w14:paraId="1FDD055C" w14:textId="77777777" w:rsidR="00514676" w:rsidRPr="00944992" w:rsidRDefault="00514676" w:rsidP="00DE1DD1">
      <w:pPr>
        <w:pStyle w:val="Sarakstarindkopa"/>
        <w:spacing w:after="120" w:line="259" w:lineRule="auto"/>
        <w:ind w:left="1080"/>
        <w:rPr>
          <w:rFonts w:ascii="Times New Roman" w:hAnsi="Times New Roman" w:cs="Times New Roman"/>
          <w:lang w:val="lv-LV"/>
        </w:rPr>
      </w:pPr>
    </w:p>
    <w:p w14:paraId="55A6618A" w14:textId="27F3134D" w:rsidR="00514676" w:rsidRDefault="00DE1DD1" w:rsidP="00DE1DD1">
      <w:pPr>
        <w:pStyle w:val="Sarakstarindkopa"/>
        <w:numPr>
          <w:ilvl w:val="0"/>
          <w:numId w:val="7"/>
        </w:numPr>
        <w:spacing w:after="120" w:line="259" w:lineRule="auto"/>
        <w:ind w:left="1080" w:hanging="720"/>
        <w:rPr>
          <w:rFonts w:ascii="Times New Roman" w:hAnsi="Times New Roman" w:cs="Times New Roman"/>
          <w:lang w:val="lv-LV"/>
        </w:rPr>
      </w:pPr>
      <w:r>
        <w:rPr>
          <w:rFonts w:ascii="Times New Roman" w:hAnsi="Times New Roman" w:cs="Times New Roman"/>
          <w:lang w:val="lv-LV"/>
        </w:rPr>
        <w:t>Izstrādājot Rezerves procedūru priekšlikumu, Baltijas JAR PSO rūpīgi izvērtēja mērķi radīt vienlīdzīgus konkurences apstākļus nominētajiem</w:t>
      </w:r>
      <w:r w:rsidRPr="00DE1DD1">
        <w:rPr>
          <w:rFonts w:ascii="Times New Roman" w:hAnsi="Times New Roman" w:cs="Times New Roman"/>
          <w:lang w:val="lv-LV"/>
        </w:rPr>
        <w:t xml:space="preserve"> elektroenerģijas tirgus operator</w:t>
      </w:r>
      <w:r>
        <w:rPr>
          <w:rFonts w:ascii="Times New Roman" w:hAnsi="Times New Roman" w:cs="Times New Roman"/>
          <w:lang w:val="lv-LV"/>
        </w:rPr>
        <w:t>iem (turpmāk – “NETO”) (Regulas 2015/1222 3. panta i) punkts)</w:t>
      </w:r>
      <w:r w:rsidR="00366907" w:rsidRPr="00944992">
        <w:rPr>
          <w:rFonts w:ascii="Times New Roman" w:hAnsi="Times New Roman" w:cs="Times New Roman"/>
          <w:lang w:val="lv-LV"/>
        </w:rPr>
        <w:t xml:space="preserve">. </w:t>
      </w:r>
    </w:p>
    <w:p w14:paraId="0A51E3DD" w14:textId="77777777" w:rsidR="00416462" w:rsidRPr="00416462" w:rsidRDefault="00416462" w:rsidP="00416462">
      <w:pPr>
        <w:pStyle w:val="Sarakstarindkopa"/>
        <w:rPr>
          <w:rFonts w:ascii="Times New Roman" w:hAnsi="Times New Roman" w:cs="Times New Roman"/>
          <w:lang w:val="lv-LV"/>
        </w:rPr>
      </w:pPr>
    </w:p>
    <w:p w14:paraId="51216CA5" w14:textId="77777777" w:rsidR="00416462" w:rsidRPr="00944992" w:rsidRDefault="00416462" w:rsidP="00416462">
      <w:pPr>
        <w:pStyle w:val="Sarakstarindkopa"/>
        <w:spacing w:after="120" w:line="259" w:lineRule="auto"/>
        <w:ind w:left="1080"/>
        <w:rPr>
          <w:rFonts w:ascii="Times New Roman" w:hAnsi="Times New Roman" w:cs="Times New Roman"/>
          <w:lang w:val="lv-LV"/>
        </w:rPr>
      </w:pPr>
    </w:p>
    <w:p w14:paraId="6BBF81E3" w14:textId="2CE752F9" w:rsidR="00514676" w:rsidRPr="00944992" w:rsidRDefault="00DE1DD1" w:rsidP="00366907">
      <w:pPr>
        <w:pStyle w:val="Sarakstarindkopa"/>
        <w:numPr>
          <w:ilvl w:val="0"/>
          <w:numId w:val="7"/>
        </w:numPr>
        <w:spacing w:after="120" w:line="259" w:lineRule="auto"/>
        <w:ind w:left="1080" w:hanging="720"/>
        <w:rPr>
          <w:rFonts w:ascii="Times New Roman" w:hAnsi="Times New Roman" w:cs="Times New Roman"/>
          <w:lang w:val="lv-LV"/>
        </w:rPr>
      </w:pPr>
      <w:bookmarkStart w:id="12" w:name="_Ref436817321"/>
      <w:r>
        <w:rPr>
          <w:rFonts w:ascii="Times New Roman" w:hAnsi="Times New Roman" w:cs="Times New Roman"/>
          <w:lang w:val="lv-LV"/>
        </w:rPr>
        <w:t>Noslēgumā, Rezerves procedūru priekšlikums ņem vērā esošos risinājumus un sekmē Regulas 2015/1222 vispārīgos mērķus par labu visiem tirgus dalībniekiem un elektroenerģijas gala patērētājiem</w:t>
      </w:r>
      <w:bookmarkEnd w:id="12"/>
      <w:r w:rsidR="00514676" w:rsidRPr="00944992">
        <w:rPr>
          <w:rFonts w:ascii="Times New Roman" w:hAnsi="Times New Roman" w:cs="Times New Roman"/>
          <w:lang w:val="lv-LV"/>
        </w:rPr>
        <w:t>.</w:t>
      </w:r>
    </w:p>
    <w:p w14:paraId="1B7212AB" w14:textId="77777777" w:rsidR="00F220E3" w:rsidRPr="00944992" w:rsidRDefault="00F220E3" w:rsidP="00F220E3">
      <w:pPr>
        <w:spacing w:after="120" w:line="259" w:lineRule="auto"/>
        <w:rPr>
          <w:rFonts w:ascii="Times New Roman" w:hAnsi="Times New Roman" w:cs="Times New Roman"/>
          <w:lang w:val="lv-LV"/>
        </w:rPr>
      </w:pPr>
    </w:p>
    <w:p w14:paraId="741BE0DA" w14:textId="77777777" w:rsidR="00F220E3" w:rsidRPr="00944992" w:rsidRDefault="00F220E3" w:rsidP="00F220E3">
      <w:pPr>
        <w:spacing w:after="120" w:line="259" w:lineRule="auto"/>
        <w:rPr>
          <w:rFonts w:ascii="Times New Roman" w:hAnsi="Times New Roman" w:cs="Times New Roman"/>
          <w:lang w:val="lv-LV"/>
        </w:rPr>
      </w:pPr>
    </w:p>
    <w:p w14:paraId="1C5BA7A4" w14:textId="77777777" w:rsidR="00F220E3" w:rsidRPr="00944992" w:rsidRDefault="00F220E3" w:rsidP="00F220E3">
      <w:pPr>
        <w:spacing w:after="120" w:line="259" w:lineRule="auto"/>
        <w:rPr>
          <w:rFonts w:ascii="Times New Roman" w:hAnsi="Times New Roman" w:cs="Times New Roman"/>
          <w:lang w:val="lv-LV"/>
        </w:rPr>
      </w:pPr>
    </w:p>
    <w:p w14:paraId="569D631E" w14:textId="4A6DEC7E" w:rsidR="00366907" w:rsidRPr="00944992" w:rsidRDefault="00DE1DD1" w:rsidP="00514676">
      <w:pPr>
        <w:spacing w:after="120"/>
        <w:jc w:val="both"/>
        <w:rPr>
          <w:rFonts w:ascii="Times New Roman" w:hAnsi="Times New Roman" w:cs="Times New Roman"/>
          <w:lang w:val="lv-LV"/>
        </w:rPr>
      </w:pPr>
      <w:r>
        <w:rPr>
          <w:rFonts w:ascii="Times New Roman" w:hAnsi="Times New Roman" w:cs="Times New Roman"/>
          <w:lang w:val="lv-LV"/>
        </w:rPr>
        <w:t>IESNIEDZ ŠO REZRVES PROCEDŪRU PRIEKŠLIKUMU VISĀM REGULATĪVAJĀM IESTĀDĒM</w:t>
      </w:r>
      <w:r w:rsidR="00366907" w:rsidRPr="00944992">
        <w:rPr>
          <w:rFonts w:ascii="Times New Roman" w:hAnsi="Times New Roman" w:cs="Times New Roman"/>
          <w:lang w:val="lv-LV"/>
        </w:rPr>
        <w:t>:</w:t>
      </w:r>
    </w:p>
    <w:p w14:paraId="6EF04A31" w14:textId="476102F4" w:rsidR="009C6F86" w:rsidRPr="00944992" w:rsidRDefault="009C6F86" w:rsidP="009C6F86">
      <w:pPr>
        <w:pStyle w:val="headline2"/>
        <w:rPr>
          <w:rFonts w:cs="Times New Roman"/>
          <w:sz w:val="22"/>
          <w:szCs w:val="22"/>
          <w:lang w:val="lv-LV"/>
        </w:rPr>
      </w:pPr>
      <w:bookmarkStart w:id="13" w:name="_Toc489572870"/>
      <w:r w:rsidRPr="00944992">
        <w:rPr>
          <w:rFonts w:cs="Times New Roman"/>
          <w:sz w:val="22"/>
          <w:szCs w:val="22"/>
          <w:lang w:val="lv-LV"/>
        </w:rPr>
        <w:lastRenderedPageBreak/>
        <w:t>1</w:t>
      </w:r>
      <w:r w:rsidR="005978F5">
        <w:rPr>
          <w:rFonts w:cs="Times New Roman"/>
          <w:sz w:val="22"/>
          <w:szCs w:val="22"/>
          <w:lang w:val="lv-LV"/>
        </w:rPr>
        <w:t>. pants</w:t>
      </w:r>
      <w:r w:rsidRPr="00944992">
        <w:rPr>
          <w:rFonts w:cs="Times New Roman"/>
          <w:sz w:val="22"/>
          <w:szCs w:val="22"/>
          <w:lang w:val="lv-LV"/>
        </w:rPr>
        <w:br/>
      </w:r>
      <w:r w:rsidR="005978F5">
        <w:rPr>
          <w:rFonts w:cs="Times New Roman"/>
          <w:sz w:val="22"/>
          <w:szCs w:val="22"/>
          <w:lang w:val="lv-LV"/>
        </w:rPr>
        <w:t>Priekšmets un piemērošanas joma</w:t>
      </w:r>
      <w:bookmarkEnd w:id="0"/>
      <w:bookmarkEnd w:id="1"/>
      <w:bookmarkEnd w:id="2"/>
      <w:bookmarkEnd w:id="13"/>
    </w:p>
    <w:p w14:paraId="135B20E8" w14:textId="3326A086" w:rsidR="009C6F86" w:rsidRPr="00944992" w:rsidRDefault="005978F5" w:rsidP="009C6F86">
      <w:pPr>
        <w:spacing w:after="120"/>
        <w:rPr>
          <w:rFonts w:ascii="Times New Roman" w:hAnsi="Times New Roman" w:cs="Times New Roman"/>
          <w:lang w:val="lv-LV"/>
        </w:rPr>
      </w:pPr>
      <w:r>
        <w:rPr>
          <w:rFonts w:ascii="Times New Roman" w:hAnsi="Times New Roman" w:cs="Times New Roman"/>
          <w:lang w:val="lv-LV"/>
        </w:rPr>
        <w:t>Saskaņā ar Rezerves procedūru priekšlikumu Rezerves procedūras uzskatāmas par Baltijas JAR PSO kopīgu priekšlikumu saskaņā ar Regulas 2015/1222 44. pantu un tās nosaka Rezerves procedūras šādiem objektiem</w:t>
      </w:r>
      <w:r w:rsidR="009C6F86" w:rsidRPr="00944992">
        <w:rPr>
          <w:rFonts w:ascii="Times New Roman" w:hAnsi="Times New Roman" w:cs="Times New Roman"/>
          <w:lang w:val="lv-LV"/>
        </w:rPr>
        <w:t xml:space="preserve">: </w:t>
      </w:r>
    </w:p>
    <w:p w14:paraId="2A0A155C" w14:textId="08E3AB88" w:rsidR="009C6F86" w:rsidRPr="00944992" w:rsidRDefault="005978F5" w:rsidP="009C6F86">
      <w:pPr>
        <w:pStyle w:val="Sarakstarindkopa"/>
        <w:numPr>
          <w:ilvl w:val="0"/>
          <w:numId w:val="1"/>
        </w:numPr>
        <w:spacing w:after="200" w:line="240" w:lineRule="auto"/>
        <w:rPr>
          <w:rFonts w:ascii="Times New Roman" w:hAnsi="Times New Roman" w:cs="Times New Roman"/>
          <w:lang w:val="lv-LV"/>
        </w:rPr>
      </w:pPr>
      <w:r>
        <w:rPr>
          <w:rFonts w:ascii="Times New Roman" w:hAnsi="Times New Roman" w:cs="Times New Roman"/>
          <w:lang w:val="lv-LV"/>
        </w:rPr>
        <w:t>visām esošajām un nākotnes tirdzniecības zonu robežām un starpsavienotājiem, kas iekļauti Baltijas JAR, uz kuru attiecināma Regula 2015/1222; un</w:t>
      </w:r>
      <w:r w:rsidR="009C6F86" w:rsidRPr="00944992">
        <w:rPr>
          <w:rFonts w:ascii="Times New Roman" w:hAnsi="Times New Roman" w:cs="Times New Roman"/>
          <w:lang w:val="lv-LV"/>
        </w:rPr>
        <w:t xml:space="preserve"> </w:t>
      </w:r>
    </w:p>
    <w:p w14:paraId="5FE24349" w14:textId="685143FD" w:rsidR="009C6F86" w:rsidRPr="00944992" w:rsidRDefault="005978F5" w:rsidP="009C6F86">
      <w:pPr>
        <w:pStyle w:val="Sarakstarindkopa"/>
        <w:numPr>
          <w:ilvl w:val="0"/>
          <w:numId w:val="1"/>
        </w:numPr>
        <w:spacing w:after="200" w:line="240" w:lineRule="auto"/>
        <w:rPr>
          <w:rFonts w:ascii="Times New Roman" w:hAnsi="Times New Roman" w:cs="Times New Roman"/>
          <w:lang w:val="lv-LV"/>
        </w:rPr>
      </w:pPr>
      <w:r>
        <w:rPr>
          <w:rFonts w:ascii="Times New Roman" w:hAnsi="Times New Roman" w:cs="Times New Roman"/>
          <w:lang w:val="lv-LV"/>
        </w:rPr>
        <w:t>starpsavienotājiem, kuri pieder PSO vai citām juridiskām personām un kuri ir iekļauti Baltijas JAR</w:t>
      </w:r>
      <w:r w:rsidR="009C6F86" w:rsidRPr="00944992">
        <w:rPr>
          <w:rFonts w:ascii="Times New Roman" w:hAnsi="Times New Roman" w:cs="Times New Roman"/>
          <w:lang w:val="lv-LV"/>
        </w:rPr>
        <w:t xml:space="preserve">.  </w:t>
      </w:r>
    </w:p>
    <w:p w14:paraId="063C31B2" w14:textId="77777777" w:rsidR="00403BE3" w:rsidRPr="00944992" w:rsidRDefault="00403BE3" w:rsidP="00403BE3">
      <w:pPr>
        <w:pStyle w:val="Sarakstarindkopa"/>
        <w:spacing w:after="200" w:line="240" w:lineRule="auto"/>
        <w:ind w:left="1440"/>
        <w:rPr>
          <w:rFonts w:ascii="Times New Roman" w:hAnsi="Times New Roman" w:cs="Times New Roman"/>
          <w:lang w:val="lv-LV"/>
        </w:rPr>
      </w:pPr>
    </w:p>
    <w:p w14:paraId="4E4B3BE6" w14:textId="64AE620D" w:rsidR="009C6F86" w:rsidRPr="00944992" w:rsidRDefault="009C6F86" w:rsidP="009C6F86">
      <w:pPr>
        <w:pStyle w:val="headline2"/>
        <w:keepNext/>
        <w:rPr>
          <w:rFonts w:cs="Times New Roman"/>
          <w:sz w:val="22"/>
          <w:szCs w:val="22"/>
          <w:lang w:val="lv-LV"/>
        </w:rPr>
      </w:pPr>
      <w:bookmarkStart w:id="14" w:name="_Toc489572871"/>
      <w:bookmarkStart w:id="15" w:name="_Toc464485818"/>
      <w:bookmarkStart w:id="16" w:name="_Toc432586790"/>
      <w:bookmarkStart w:id="17" w:name="_Toc432586770"/>
      <w:r w:rsidRPr="00944992">
        <w:rPr>
          <w:rFonts w:cs="Times New Roman"/>
          <w:sz w:val="22"/>
          <w:szCs w:val="22"/>
          <w:lang w:val="lv-LV"/>
        </w:rPr>
        <w:t>2</w:t>
      </w:r>
      <w:r w:rsidR="005978F5">
        <w:rPr>
          <w:rFonts w:cs="Times New Roman"/>
          <w:sz w:val="22"/>
          <w:szCs w:val="22"/>
          <w:lang w:val="lv-LV"/>
        </w:rPr>
        <w:t>. pants</w:t>
      </w:r>
      <w:r w:rsidRPr="00944992">
        <w:rPr>
          <w:rFonts w:cs="Times New Roman"/>
          <w:sz w:val="22"/>
          <w:szCs w:val="22"/>
          <w:lang w:val="lv-LV"/>
        </w:rPr>
        <w:br/>
        <w:t>Defin</w:t>
      </w:r>
      <w:r w:rsidR="005978F5">
        <w:rPr>
          <w:rFonts w:cs="Times New Roman"/>
          <w:sz w:val="22"/>
          <w:szCs w:val="22"/>
          <w:lang w:val="lv-LV"/>
        </w:rPr>
        <w:t>īcijas</w:t>
      </w:r>
      <w:bookmarkEnd w:id="14"/>
      <w:r w:rsidRPr="00944992">
        <w:rPr>
          <w:rFonts w:cs="Times New Roman"/>
          <w:sz w:val="22"/>
          <w:szCs w:val="22"/>
          <w:lang w:val="lv-LV"/>
        </w:rPr>
        <w:t xml:space="preserve"> </w:t>
      </w:r>
      <w:bookmarkEnd w:id="15"/>
      <w:bookmarkEnd w:id="16"/>
      <w:bookmarkEnd w:id="17"/>
    </w:p>
    <w:p w14:paraId="3745D646" w14:textId="1708F5D8" w:rsidR="009C6F86" w:rsidRPr="00681325" w:rsidRDefault="005978F5" w:rsidP="00681325">
      <w:pPr>
        <w:spacing w:after="120"/>
        <w:jc w:val="both"/>
        <w:rPr>
          <w:rFonts w:ascii="Times New Roman" w:hAnsi="Times New Roman" w:cs="Times New Roman"/>
          <w:lang w:val="lv-LV"/>
        </w:rPr>
      </w:pPr>
      <w:r>
        <w:rPr>
          <w:rFonts w:ascii="Times New Roman" w:hAnsi="Times New Roman" w:cs="Times New Roman"/>
          <w:lang w:val="lv-LV"/>
        </w:rPr>
        <w:t>Saskaņā ar Rezerves procedūru priekšlikumu šajā dokumentā izmantoto terminu nozīmju definīcijas iekļautas Regulas 2015/1222 2. pantā</w:t>
      </w:r>
      <w:r w:rsidR="008F352D">
        <w:rPr>
          <w:rFonts w:ascii="Times New Roman" w:hAnsi="Times New Roman" w:cs="Times New Roman"/>
          <w:lang w:val="lv-LV"/>
        </w:rPr>
        <w:t>, Regulā</w:t>
      </w:r>
      <w:r>
        <w:rPr>
          <w:rFonts w:ascii="Times New Roman" w:hAnsi="Times New Roman" w:cs="Times New Roman"/>
          <w:lang w:val="lv-LV"/>
        </w:rPr>
        <w:t> 714/2009, Direktīvā</w:t>
      </w:r>
      <w:r w:rsidR="008F352D">
        <w:rPr>
          <w:rFonts w:ascii="Times New Roman" w:hAnsi="Times New Roman" w:cs="Times New Roman"/>
          <w:lang w:val="lv-LV"/>
        </w:rPr>
        <w:t> </w:t>
      </w:r>
      <w:r>
        <w:rPr>
          <w:rFonts w:ascii="Times New Roman" w:hAnsi="Times New Roman" w:cs="Times New Roman"/>
          <w:lang w:val="lv-LV"/>
        </w:rPr>
        <w:t xml:space="preserve">2009/72/EK un Komisijas Regulā </w:t>
      </w:r>
      <w:r w:rsidRPr="00681325">
        <w:rPr>
          <w:rFonts w:ascii="Times New Roman" w:hAnsi="Times New Roman" w:cs="Times New Roman"/>
          <w:lang w:val="lv-LV"/>
        </w:rPr>
        <w:t>(ES)</w:t>
      </w:r>
      <w:r w:rsidR="008F352D" w:rsidRPr="00681325">
        <w:rPr>
          <w:rFonts w:ascii="Times New Roman" w:hAnsi="Times New Roman" w:cs="Times New Roman"/>
          <w:lang w:val="lv-LV"/>
        </w:rPr>
        <w:t> </w:t>
      </w:r>
      <w:r w:rsidRPr="00681325">
        <w:rPr>
          <w:rFonts w:ascii="Times New Roman" w:hAnsi="Times New Roman" w:cs="Times New Roman"/>
          <w:lang w:val="lv-LV"/>
        </w:rPr>
        <w:t>543/2013</w:t>
      </w:r>
      <w:r w:rsidR="009C6F86" w:rsidRPr="00681325">
        <w:rPr>
          <w:rFonts w:ascii="Times New Roman" w:hAnsi="Times New Roman" w:cs="Times New Roman"/>
          <w:lang w:val="lv-LV"/>
        </w:rPr>
        <w:t>.</w:t>
      </w:r>
    </w:p>
    <w:p w14:paraId="4DCC103F" w14:textId="4209B136" w:rsidR="00681325" w:rsidRPr="00681325" w:rsidRDefault="00DB0CEC" w:rsidP="00681325">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t xml:space="preserve">Rezerves procedūra nosaka divas vispārīgas </w:t>
      </w:r>
      <w:r w:rsidR="00935448">
        <w:rPr>
          <w:rFonts w:ascii="Times New Roman" w:hAnsi="Times New Roman" w:cs="Times New Roman"/>
          <w:lang w:val="lv-LV"/>
        </w:rPr>
        <w:t xml:space="preserve">rezerves </w:t>
      </w:r>
      <w:r>
        <w:rPr>
          <w:rFonts w:ascii="Times New Roman" w:hAnsi="Times New Roman" w:cs="Times New Roman"/>
          <w:lang w:val="lv-LV"/>
        </w:rPr>
        <w:t>situācijas: daļēja atsaistīšana un pilnīga atsaistīšana. Daļējas atsaistīšanas gadījumā viens reģions saskar</w:t>
      </w:r>
      <w:r w:rsidR="003E06EE">
        <w:rPr>
          <w:rFonts w:ascii="Times New Roman" w:hAnsi="Times New Roman" w:cs="Times New Roman"/>
          <w:lang w:val="lv-LV"/>
        </w:rPr>
        <w:t>as</w:t>
      </w:r>
      <w:r>
        <w:rPr>
          <w:rFonts w:ascii="Times New Roman" w:hAnsi="Times New Roman" w:cs="Times New Roman"/>
          <w:lang w:val="lv-LV"/>
        </w:rPr>
        <w:t xml:space="preserve"> ar problēmām un tāpēc tas jāatsaista no pārējiem reģioniem, kuri paliek sasaistīti. Pilnīgas atsaistīšanas gadījumā visi reģioni un tir</w:t>
      </w:r>
      <w:r w:rsidR="00935448">
        <w:rPr>
          <w:rFonts w:ascii="Times New Roman" w:hAnsi="Times New Roman" w:cs="Times New Roman"/>
          <w:lang w:val="lv-LV"/>
        </w:rPr>
        <w:t>dzniecības zonas tiek atsaistītas viena</w:t>
      </w:r>
      <w:r>
        <w:rPr>
          <w:rFonts w:ascii="Times New Roman" w:hAnsi="Times New Roman" w:cs="Times New Roman"/>
          <w:lang w:val="lv-LV"/>
        </w:rPr>
        <w:t xml:space="preserve"> no otra</w:t>
      </w:r>
      <w:r w:rsidR="00935448">
        <w:rPr>
          <w:rFonts w:ascii="Times New Roman" w:hAnsi="Times New Roman" w:cs="Times New Roman"/>
          <w:lang w:val="lv-LV"/>
        </w:rPr>
        <w:t>s</w:t>
      </w:r>
      <w:r>
        <w:rPr>
          <w:rFonts w:ascii="Times New Roman" w:hAnsi="Times New Roman" w:cs="Times New Roman"/>
          <w:lang w:val="lv-LV"/>
        </w:rPr>
        <w:t>.</w:t>
      </w:r>
    </w:p>
    <w:p w14:paraId="121BEF16" w14:textId="77777777" w:rsidR="009C6F86" w:rsidRPr="00944992" w:rsidRDefault="009C6F86" w:rsidP="00514676">
      <w:pPr>
        <w:spacing w:line="252" w:lineRule="auto"/>
        <w:rPr>
          <w:rFonts w:ascii="Times New Roman" w:hAnsi="Times New Roman" w:cs="Times New Roman"/>
          <w:lang w:val="lv-LV"/>
        </w:rPr>
      </w:pPr>
    </w:p>
    <w:p w14:paraId="54AFC820" w14:textId="47D904CE" w:rsidR="009C6F86" w:rsidRPr="00944992" w:rsidRDefault="009C6F86" w:rsidP="009C6F86">
      <w:pPr>
        <w:pStyle w:val="headline2"/>
        <w:rPr>
          <w:rFonts w:cs="Times New Roman"/>
          <w:sz w:val="22"/>
          <w:szCs w:val="22"/>
          <w:lang w:val="lv-LV"/>
        </w:rPr>
      </w:pPr>
      <w:bookmarkStart w:id="18" w:name="_Toc432586792"/>
      <w:bookmarkStart w:id="19" w:name="_Toc432586772"/>
      <w:bookmarkStart w:id="20" w:name="_Toc464485819"/>
      <w:bookmarkStart w:id="21" w:name="_Toc489572872"/>
      <w:r w:rsidRPr="00944992">
        <w:rPr>
          <w:rFonts w:cs="Times New Roman"/>
          <w:sz w:val="22"/>
          <w:szCs w:val="22"/>
          <w:lang w:val="lv-LV"/>
        </w:rPr>
        <w:t>3</w:t>
      </w:r>
      <w:r w:rsidR="008F352D">
        <w:rPr>
          <w:rFonts w:cs="Times New Roman"/>
          <w:sz w:val="22"/>
          <w:szCs w:val="22"/>
          <w:lang w:val="lv-LV"/>
        </w:rPr>
        <w:t>. pants</w:t>
      </w:r>
      <w:r w:rsidRPr="00944992">
        <w:rPr>
          <w:rFonts w:cs="Times New Roman"/>
          <w:sz w:val="22"/>
          <w:szCs w:val="22"/>
          <w:lang w:val="lv-LV"/>
        </w:rPr>
        <w:br/>
      </w:r>
      <w:bookmarkEnd w:id="18"/>
      <w:bookmarkEnd w:id="19"/>
      <w:bookmarkEnd w:id="20"/>
      <w:r w:rsidR="008F352D">
        <w:rPr>
          <w:rFonts w:cs="Times New Roman"/>
          <w:sz w:val="22"/>
          <w:szCs w:val="22"/>
          <w:lang w:val="lv-LV"/>
        </w:rPr>
        <w:t>Rezerves procedūras</w:t>
      </w:r>
      <w:r w:rsidR="003E06EE">
        <w:rPr>
          <w:rFonts w:cs="Times New Roman"/>
          <w:sz w:val="22"/>
          <w:szCs w:val="22"/>
          <w:lang w:val="lv-LV"/>
        </w:rPr>
        <w:t>,</w:t>
      </w:r>
      <w:r w:rsidR="008F352D">
        <w:rPr>
          <w:rFonts w:cs="Times New Roman"/>
          <w:sz w:val="22"/>
          <w:szCs w:val="22"/>
          <w:lang w:val="lv-LV"/>
        </w:rPr>
        <w:t xml:space="preserve"> </w:t>
      </w:r>
      <w:bookmarkEnd w:id="21"/>
      <w:r w:rsidR="003E06EE" w:rsidRPr="003E06EE">
        <w:rPr>
          <w:rFonts w:cs="Times New Roman"/>
          <w:sz w:val="22"/>
          <w:szCs w:val="22"/>
          <w:lang w:val="lv-LV"/>
        </w:rPr>
        <w:t>ja vienotajā nākamās dienas tirgus sasaistīšanas procesā nav iespējams gūt rezultātus</w:t>
      </w:r>
    </w:p>
    <w:p w14:paraId="2A22CE78" w14:textId="0172B6B5" w:rsidR="003F30E6" w:rsidRDefault="00935448" w:rsidP="0064415A">
      <w:pPr>
        <w:pStyle w:val="Sarakstarindkopa"/>
        <w:numPr>
          <w:ilvl w:val="0"/>
          <w:numId w:val="4"/>
        </w:numPr>
        <w:spacing w:after="120"/>
        <w:rPr>
          <w:rFonts w:ascii="Times New Roman" w:hAnsi="Times New Roman" w:cs="Times New Roman"/>
          <w:lang w:val="lv-LV"/>
        </w:rPr>
      </w:pPr>
      <w:r w:rsidRPr="003F30E6">
        <w:rPr>
          <w:rFonts w:ascii="Times New Roman" w:hAnsi="Times New Roman" w:cs="Times New Roman"/>
          <w:lang w:val="lv-LV"/>
        </w:rPr>
        <w:t>Rezerves procedūras Baltijas JAR jāsāk, kad vienota</w:t>
      </w:r>
      <w:r w:rsidR="006746B4">
        <w:rPr>
          <w:rFonts w:ascii="Times New Roman" w:hAnsi="Times New Roman" w:cs="Times New Roman"/>
          <w:lang w:val="lv-LV"/>
        </w:rPr>
        <w:t>s</w:t>
      </w:r>
      <w:r w:rsidRPr="003F30E6">
        <w:rPr>
          <w:rFonts w:ascii="Times New Roman" w:hAnsi="Times New Roman" w:cs="Times New Roman"/>
          <w:lang w:val="lv-LV"/>
        </w:rPr>
        <w:t xml:space="preserve"> nākamās dienas tirgus sasaistīšana</w:t>
      </w:r>
      <w:r w:rsidR="006746B4">
        <w:rPr>
          <w:rFonts w:ascii="Times New Roman" w:hAnsi="Times New Roman" w:cs="Times New Roman"/>
          <w:lang w:val="lv-LV"/>
        </w:rPr>
        <w:t xml:space="preserve">s operatori paziņo par </w:t>
      </w:r>
      <w:r w:rsidR="004A70AF" w:rsidRPr="003F30E6">
        <w:rPr>
          <w:rFonts w:ascii="Times New Roman" w:hAnsi="Times New Roman" w:cs="Times New Roman"/>
          <w:lang w:val="lv-LV"/>
        </w:rPr>
        <w:t>pilnīgu atsaistīšanu vai daļēju atsaistīšanu.</w:t>
      </w:r>
    </w:p>
    <w:p w14:paraId="7F9852AD" w14:textId="77777777" w:rsidR="003F30E6" w:rsidRDefault="003F30E6" w:rsidP="003F30E6">
      <w:pPr>
        <w:pStyle w:val="Sarakstarindkopa"/>
        <w:spacing w:after="120"/>
        <w:ind w:left="360"/>
        <w:rPr>
          <w:rFonts w:ascii="Times New Roman" w:hAnsi="Times New Roman" w:cs="Times New Roman"/>
          <w:lang w:val="lv-LV"/>
        </w:rPr>
      </w:pPr>
    </w:p>
    <w:p w14:paraId="41D99D97" w14:textId="3C4E50AE" w:rsidR="004A70AF" w:rsidRDefault="004A70AF" w:rsidP="0064415A">
      <w:pPr>
        <w:pStyle w:val="Sarakstarindkopa"/>
        <w:numPr>
          <w:ilvl w:val="0"/>
          <w:numId w:val="4"/>
        </w:numPr>
        <w:spacing w:after="120"/>
        <w:rPr>
          <w:rFonts w:ascii="Times New Roman" w:hAnsi="Times New Roman" w:cs="Times New Roman"/>
          <w:lang w:val="lv-LV"/>
        </w:rPr>
      </w:pPr>
      <w:r w:rsidRPr="003F30E6">
        <w:rPr>
          <w:rFonts w:ascii="Times New Roman" w:hAnsi="Times New Roman" w:cs="Times New Roman"/>
          <w:lang w:val="lv-LV"/>
        </w:rPr>
        <w:t xml:space="preserve">Pilnīgas atsaistīšanas vai daļējas atsaistīšanas līdz 20:00 (Centrāleiropas laiks) gadījumā attiecīgais </w:t>
      </w:r>
      <w:bookmarkStart w:id="22" w:name="_GoBack"/>
      <w:bookmarkEnd w:id="22"/>
      <w:r w:rsidRPr="003F30E6">
        <w:rPr>
          <w:rFonts w:ascii="Times New Roman" w:hAnsi="Times New Roman" w:cs="Times New Roman"/>
          <w:lang w:val="lv-LV"/>
        </w:rPr>
        <w:t xml:space="preserve">NETO </w:t>
      </w:r>
      <w:r w:rsidR="003E06EE">
        <w:rPr>
          <w:rFonts w:ascii="Times New Roman" w:hAnsi="Times New Roman" w:cs="Times New Roman"/>
          <w:lang w:val="lv-LV"/>
        </w:rPr>
        <w:t xml:space="preserve">(vai vairāki NETO) </w:t>
      </w:r>
      <w:r w:rsidRPr="003F30E6">
        <w:rPr>
          <w:rFonts w:ascii="Times New Roman" w:hAnsi="Times New Roman" w:cs="Times New Roman"/>
          <w:lang w:val="lv-LV"/>
        </w:rPr>
        <w:t>izmanto vienotas nākamās dienas tirgus</w:t>
      </w:r>
      <w:r w:rsidR="00303FC1">
        <w:rPr>
          <w:rFonts w:ascii="Times New Roman" w:hAnsi="Times New Roman" w:cs="Times New Roman"/>
          <w:lang w:val="lv-LV"/>
        </w:rPr>
        <w:t xml:space="preserve"> sasaistīšanas sistēmu reģionālajā</w:t>
      </w:r>
      <w:r w:rsidRPr="003F30E6">
        <w:rPr>
          <w:rFonts w:ascii="Times New Roman" w:hAnsi="Times New Roman" w:cs="Times New Roman"/>
          <w:lang w:val="lv-LV"/>
        </w:rPr>
        <w:t xml:space="preserve"> iedalījumā, lai aprēķinātu neto pozīcijas un cenas katrai Baltijas valstu tirdzniecības zonai ar mērķi paturēt Ziemeļvalstu un Baltijas tirdzniecības zonas sasaistītas, ja vien tas tobrīd nav neiespējami.</w:t>
      </w:r>
    </w:p>
    <w:p w14:paraId="12468B18" w14:textId="77777777" w:rsidR="003F30E6" w:rsidRPr="003F30E6" w:rsidRDefault="003F30E6" w:rsidP="003F30E6">
      <w:pPr>
        <w:pStyle w:val="Sarakstarindkopa"/>
        <w:rPr>
          <w:rFonts w:ascii="Times New Roman" w:hAnsi="Times New Roman" w:cs="Times New Roman"/>
          <w:lang w:val="lv-LV"/>
        </w:rPr>
      </w:pPr>
    </w:p>
    <w:p w14:paraId="47935779" w14:textId="051FE722" w:rsidR="004A70AF" w:rsidRDefault="004A70AF" w:rsidP="0064415A">
      <w:pPr>
        <w:pStyle w:val="Sarakstarindkopa"/>
        <w:numPr>
          <w:ilvl w:val="0"/>
          <w:numId w:val="4"/>
        </w:numPr>
        <w:spacing w:after="120"/>
        <w:rPr>
          <w:rFonts w:ascii="Times New Roman" w:hAnsi="Times New Roman" w:cs="Times New Roman"/>
          <w:lang w:val="lv-LV"/>
        </w:rPr>
      </w:pPr>
      <w:r>
        <w:rPr>
          <w:rFonts w:ascii="Times New Roman" w:hAnsi="Times New Roman" w:cs="Times New Roman"/>
          <w:lang w:val="lv-LV"/>
        </w:rPr>
        <w:t>3. panta 2. punktā minētais aprēķins ietver</w:t>
      </w:r>
      <w:r w:rsidR="00C21455">
        <w:rPr>
          <w:rFonts w:ascii="Times New Roman" w:hAnsi="Times New Roman" w:cs="Times New Roman"/>
          <w:lang w:val="lv-LV"/>
        </w:rPr>
        <w:t xml:space="preserve"> </w:t>
      </w:r>
      <w:r w:rsidR="00303FC1">
        <w:rPr>
          <w:rFonts w:ascii="Times New Roman" w:hAnsi="Times New Roman" w:cs="Times New Roman"/>
          <w:lang w:val="lv-LV"/>
        </w:rPr>
        <w:t xml:space="preserve">to </w:t>
      </w:r>
      <w:r w:rsidR="00C21455">
        <w:rPr>
          <w:rFonts w:ascii="Times New Roman" w:hAnsi="Times New Roman" w:cs="Times New Roman"/>
          <w:lang w:val="lv-LV"/>
        </w:rPr>
        <w:t xml:space="preserve">Baltijas un Ziemeļvalstu JAR </w:t>
      </w:r>
      <w:r>
        <w:rPr>
          <w:rFonts w:ascii="Times New Roman" w:hAnsi="Times New Roman" w:cs="Times New Roman"/>
          <w:lang w:val="lv-LV"/>
        </w:rPr>
        <w:t>tīkla datus</w:t>
      </w:r>
      <w:r w:rsidR="006746B4">
        <w:rPr>
          <w:rFonts w:ascii="Times New Roman" w:hAnsi="Times New Roman" w:cs="Times New Roman"/>
          <w:lang w:val="lv-LV"/>
        </w:rPr>
        <w:t xml:space="preserve"> un pieprasītos datus, kuri bija daļa no vienotas nākamās dienas tirgus sasaistīšanas attiecīgajā dienā, ja vien tas tobrīd nav neiespējami. Aprēķinu saskaņo arī ar Ziemeļvalstu un Hanzas JAR rezerves procedūrām.</w:t>
      </w:r>
    </w:p>
    <w:p w14:paraId="162CAD14" w14:textId="77777777" w:rsidR="00935448" w:rsidRDefault="00935448" w:rsidP="00935448">
      <w:pPr>
        <w:pStyle w:val="Sarakstarindkopa"/>
        <w:spacing w:after="120"/>
        <w:ind w:left="360"/>
        <w:rPr>
          <w:rFonts w:ascii="Times New Roman" w:hAnsi="Times New Roman" w:cs="Times New Roman"/>
          <w:lang w:val="lv-LV"/>
        </w:rPr>
      </w:pPr>
    </w:p>
    <w:p w14:paraId="769D691C" w14:textId="7BB4056F" w:rsidR="000C4F52" w:rsidRPr="00944992" w:rsidRDefault="0064415A" w:rsidP="0064415A">
      <w:pPr>
        <w:pStyle w:val="Sarakstarindkopa"/>
        <w:numPr>
          <w:ilvl w:val="0"/>
          <w:numId w:val="4"/>
        </w:numPr>
        <w:spacing w:after="120"/>
        <w:rPr>
          <w:rFonts w:ascii="Times New Roman" w:hAnsi="Times New Roman" w:cs="Times New Roman"/>
          <w:lang w:val="lv-LV"/>
        </w:rPr>
      </w:pPr>
      <w:r>
        <w:rPr>
          <w:rFonts w:ascii="Times New Roman" w:hAnsi="Times New Roman" w:cs="Times New Roman"/>
          <w:lang w:val="lv-LV"/>
        </w:rPr>
        <w:t xml:space="preserve">Gadījumā, kad </w:t>
      </w:r>
      <w:r w:rsidRPr="0064415A">
        <w:rPr>
          <w:rFonts w:ascii="Times New Roman" w:hAnsi="Times New Roman" w:cs="Times New Roman"/>
          <w:lang w:val="lv-LV"/>
        </w:rPr>
        <w:t>vienotas nākamās dienas tirgus sasaistīšanas process nenes rezultātus</w:t>
      </w:r>
      <w:r>
        <w:rPr>
          <w:rFonts w:ascii="Times New Roman" w:hAnsi="Times New Roman" w:cs="Times New Roman"/>
          <w:lang w:val="lv-LV"/>
        </w:rPr>
        <w:t xml:space="preserve">, tas ir, NETO </w:t>
      </w:r>
      <w:r w:rsidR="003E06EE">
        <w:rPr>
          <w:rFonts w:ascii="Times New Roman" w:hAnsi="Times New Roman" w:cs="Times New Roman"/>
          <w:lang w:val="lv-LV"/>
        </w:rPr>
        <w:t xml:space="preserve">(vai vairāki NETO) </w:t>
      </w:r>
      <w:r>
        <w:rPr>
          <w:rFonts w:ascii="Times New Roman" w:hAnsi="Times New Roman" w:cs="Times New Roman"/>
          <w:lang w:val="lv-LV"/>
        </w:rPr>
        <w:t xml:space="preserve">nespēj noteikt nākamās dienas </w:t>
      </w:r>
      <w:r w:rsidR="00966970">
        <w:rPr>
          <w:rFonts w:ascii="Times New Roman" w:hAnsi="Times New Roman" w:cs="Times New Roman"/>
          <w:lang w:val="lv-LV"/>
        </w:rPr>
        <w:t xml:space="preserve">netiešās </w:t>
      </w:r>
      <w:r>
        <w:rPr>
          <w:rFonts w:ascii="Times New Roman" w:hAnsi="Times New Roman" w:cs="Times New Roman"/>
          <w:lang w:val="lv-LV"/>
        </w:rPr>
        <w:t xml:space="preserve">jaudas piešķiršanas rezultātus </w:t>
      </w:r>
      <w:r w:rsidR="00966970">
        <w:rPr>
          <w:rFonts w:ascii="Times New Roman" w:hAnsi="Times New Roman" w:cs="Times New Roman"/>
          <w:lang w:val="lv-LV"/>
        </w:rPr>
        <w:t xml:space="preserve">cenu un plānotas elektroenerģijas apmaiņas </w:t>
      </w:r>
      <w:r w:rsidR="00061E95">
        <w:rPr>
          <w:rFonts w:ascii="Times New Roman" w:hAnsi="Times New Roman" w:cs="Times New Roman"/>
          <w:lang w:val="lv-LV"/>
        </w:rPr>
        <w:t>veidā</w:t>
      </w:r>
      <w:r w:rsidR="00966970">
        <w:rPr>
          <w:rFonts w:ascii="Times New Roman" w:hAnsi="Times New Roman" w:cs="Times New Roman"/>
          <w:lang w:val="lv-LV"/>
        </w:rPr>
        <w:t xml:space="preserve"> pirms 20:00 (Centrāleiropas laiks) dienā pirms piegādes dienas uz vienas vai visām tirdzniecības zonu robežām, par derīgiem uzskatāmi iepriekšējās dienas jaudas piešķiršanas rezultāti stundu pa stundai attiecībā gan uz cenu, gan uz plānotajām elektroenerģijas apmaiņām šajā piegādes dienā</w:t>
      </w:r>
      <w:r w:rsidR="009C6F86" w:rsidRPr="00944992">
        <w:rPr>
          <w:rFonts w:ascii="Times New Roman" w:hAnsi="Times New Roman" w:cs="Times New Roman"/>
          <w:lang w:val="lv-LV"/>
        </w:rPr>
        <w:t xml:space="preserve">. </w:t>
      </w:r>
    </w:p>
    <w:p w14:paraId="0FD6502F" w14:textId="77777777" w:rsidR="00366907" w:rsidRPr="00944992" w:rsidRDefault="00366907" w:rsidP="00366907">
      <w:pPr>
        <w:pStyle w:val="Sarakstarindkopa"/>
        <w:spacing w:after="120"/>
        <w:ind w:left="360"/>
        <w:rPr>
          <w:rFonts w:ascii="Times New Roman" w:hAnsi="Times New Roman" w:cs="Times New Roman"/>
          <w:lang w:val="lv-LV"/>
        </w:rPr>
      </w:pPr>
    </w:p>
    <w:p w14:paraId="2BCEDC0A" w14:textId="52BD5A76" w:rsidR="009C6F86" w:rsidRDefault="00966970" w:rsidP="00966970">
      <w:pPr>
        <w:pStyle w:val="Sarakstarindkopa"/>
        <w:numPr>
          <w:ilvl w:val="0"/>
          <w:numId w:val="4"/>
        </w:numPr>
        <w:spacing w:after="120"/>
        <w:rPr>
          <w:rFonts w:ascii="Times New Roman" w:hAnsi="Times New Roman" w:cs="Times New Roman"/>
          <w:lang w:val="lv-LV"/>
        </w:rPr>
      </w:pPr>
      <w:r>
        <w:rPr>
          <w:rFonts w:ascii="Times New Roman" w:hAnsi="Times New Roman" w:cs="Times New Roman"/>
          <w:lang w:val="lv-LV"/>
        </w:rPr>
        <w:t xml:space="preserve">Iepriekšējā diena nozīmē iepriekšējo darba dienu, ja </w:t>
      </w:r>
      <w:r w:rsidRPr="00966970">
        <w:rPr>
          <w:rFonts w:ascii="Times New Roman" w:hAnsi="Times New Roman" w:cs="Times New Roman"/>
          <w:lang w:val="lv-LV"/>
        </w:rPr>
        <w:t>vienotas nākamās die</w:t>
      </w:r>
      <w:r w:rsidR="003B30F9">
        <w:rPr>
          <w:rFonts w:ascii="Times New Roman" w:hAnsi="Times New Roman" w:cs="Times New Roman"/>
          <w:lang w:val="lv-LV"/>
        </w:rPr>
        <w:t xml:space="preserve">nas tirgus sasaistīšanas procesa </w:t>
      </w:r>
      <w:r w:rsidR="00346D18">
        <w:rPr>
          <w:rFonts w:ascii="Times New Roman" w:hAnsi="Times New Roman" w:cs="Times New Roman"/>
          <w:lang w:val="lv-LV"/>
        </w:rPr>
        <w:t>neizpilde</w:t>
      </w:r>
      <w:r w:rsidR="003B30F9">
        <w:rPr>
          <w:rFonts w:ascii="Times New Roman" w:hAnsi="Times New Roman" w:cs="Times New Roman"/>
          <w:lang w:val="lv-LV"/>
        </w:rPr>
        <w:t xml:space="preserve"> attiecas uz darba dienu, un attiecīgi iepriekšējo brīvdienu vai </w:t>
      </w:r>
      <w:r w:rsidR="00061E95">
        <w:rPr>
          <w:rFonts w:ascii="Times New Roman" w:hAnsi="Times New Roman" w:cs="Times New Roman"/>
          <w:lang w:val="lv-LV"/>
        </w:rPr>
        <w:t>valsts svētku dienu</w:t>
      </w:r>
      <w:r w:rsidR="003B30F9">
        <w:rPr>
          <w:rFonts w:ascii="Times New Roman" w:hAnsi="Times New Roman" w:cs="Times New Roman"/>
          <w:lang w:val="lv-LV"/>
        </w:rPr>
        <w:t xml:space="preserve">, ja izsoles neizdošanās attiecināma uz sestdienu, svētdienu vai </w:t>
      </w:r>
      <w:r w:rsidR="00061E95">
        <w:rPr>
          <w:rFonts w:ascii="Times New Roman" w:hAnsi="Times New Roman" w:cs="Times New Roman"/>
          <w:lang w:val="lv-LV"/>
        </w:rPr>
        <w:t>valsts svētku</w:t>
      </w:r>
      <w:r w:rsidR="003B30F9">
        <w:rPr>
          <w:rFonts w:ascii="Times New Roman" w:hAnsi="Times New Roman" w:cs="Times New Roman"/>
          <w:lang w:val="lv-LV"/>
        </w:rPr>
        <w:t xml:space="preserve"> dienu. Darba diena nozīmē dienas no pirmdienas līdz piektdienai, neieskaitot </w:t>
      </w:r>
      <w:r w:rsidR="00061E95">
        <w:rPr>
          <w:rFonts w:ascii="Times New Roman" w:hAnsi="Times New Roman" w:cs="Times New Roman"/>
          <w:lang w:val="lv-LV"/>
        </w:rPr>
        <w:t xml:space="preserve">oficiālas </w:t>
      </w:r>
      <w:r w:rsidR="003B30F9">
        <w:rPr>
          <w:rFonts w:ascii="Times New Roman" w:hAnsi="Times New Roman" w:cs="Times New Roman"/>
          <w:lang w:val="lv-LV"/>
        </w:rPr>
        <w:t xml:space="preserve">valsts svētku dienas, kuras nosaka saskaņošanas procesā ar </w:t>
      </w:r>
      <w:r w:rsidR="0066112E">
        <w:rPr>
          <w:rFonts w:ascii="Times New Roman" w:hAnsi="Times New Roman" w:cs="Times New Roman"/>
          <w:lang w:val="lv-LV"/>
        </w:rPr>
        <w:t>blakusesošiem</w:t>
      </w:r>
      <w:r w:rsidR="003B30F9">
        <w:rPr>
          <w:rFonts w:ascii="Times New Roman" w:hAnsi="Times New Roman" w:cs="Times New Roman"/>
          <w:lang w:val="lv-LV"/>
        </w:rPr>
        <w:t xml:space="preserve"> JAR (Ziemeļvalstu un Hanzas</w:t>
      </w:r>
      <w:r w:rsidR="005E226D" w:rsidRPr="00944992">
        <w:rPr>
          <w:rFonts w:ascii="Times New Roman" w:hAnsi="Times New Roman" w:cs="Times New Roman"/>
          <w:lang w:val="lv-LV"/>
        </w:rPr>
        <w:t>).</w:t>
      </w:r>
      <w:r w:rsidR="009C6F86" w:rsidRPr="00944992">
        <w:rPr>
          <w:rFonts w:ascii="Times New Roman" w:hAnsi="Times New Roman" w:cs="Times New Roman"/>
          <w:lang w:val="lv-LV"/>
        </w:rPr>
        <w:t xml:space="preserve"> </w:t>
      </w:r>
    </w:p>
    <w:p w14:paraId="660B7DBC" w14:textId="77777777" w:rsidR="00681325" w:rsidRPr="00681325" w:rsidRDefault="00681325" w:rsidP="00681325">
      <w:pPr>
        <w:pStyle w:val="Sarakstarindkopa"/>
        <w:rPr>
          <w:rFonts w:ascii="Times New Roman" w:hAnsi="Times New Roman" w:cs="Times New Roman"/>
          <w:lang w:val="lv-LV"/>
        </w:rPr>
      </w:pPr>
    </w:p>
    <w:p w14:paraId="45443E01" w14:textId="06340EE9" w:rsidR="00681325" w:rsidRPr="00681325" w:rsidRDefault="00681325" w:rsidP="00681325">
      <w:pPr>
        <w:autoSpaceDE w:val="0"/>
        <w:autoSpaceDN w:val="0"/>
        <w:adjustRightInd w:val="0"/>
        <w:jc w:val="both"/>
        <w:rPr>
          <w:rFonts w:ascii="Times New Roman" w:hAnsi="Times New Roman" w:cs="Times New Roman"/>
          <w:lang w:val="lv-LV"/>
        </w:rPr>
      </w:pPr>
    </w:p>
    <w:p w14:paraId="39DC319E" w14:textId="77777777" w:rsidR="009C6F86" w:rsidRPr="00944992" w:rsidRDefault="009C6F86" w:rsidP="009C6F86">
      <w:pPr>
        <w:pStyle w:val="Sarakstarindkopa"/>
        <w:spacing w:after="120"/>
        <w:ind w:left="360"/>
        <w:rPr>
          <w:rFonts w:ascii="Times New Roman" w:hAnsi="Times New Roman" w:cs="Times New Roman"/>
          <w:lang w:val="lv-LV"/>
        </w:rPr>
      </w:pPr>
    </w:p>
    <w:p w14:paraId="4F6846E6" w14:textId="78E8BB82" w:rsidR="009C6F86" w:rsidRPr="00944992" w:rsidRDefault="009C6F86" w:rsidP="009C6F86">
      <w:pPr>
        <w:pStyle w:val="headline2"/>
        <w:rPr>
          <w:rFonts w:cs="Times New Roman"/>
          <w:sz w:val="22"/>
          <w:szCs w:val="22"/>
          <w:lang w:val="lv-LV"/>
        </w:rPr>
      </w:pPr>
      <w:bookmarkStart w:id="23" w:name="_Toc432586805"/>
      <w:bookmarkStart w:id="24" w:name="_Toc432586785"/>
      <w:bookmarkStart w:id="25" w:name="_Toc426468206"/>
      <w:bookmarkStart w:id="26" w:name="_Toc422749331"/>
      <w:bookmarkStart w:id="27" w:name="_Toc422742328"/>
      <w:bookmarkStart w:id="28" w:name="_Toc422337372"/>
      <w:bookmarkStart w:id="29" w:name="_Toc464485820"/>
      <w:bookmarkStart w:id="30" w:name="_Toc489572873"/>
      <w:bookmarkStart w:id="31" w:name="_Toc413748339"/>
      <w:r w:rsidRPr="00944992">
        <w:rPr>
          <w:rFonts w:cs="Times New Roman"/>
          <w:sz w:val="22"/>
          <w:szCs w:val="22"/>
          <w:lang w:val="lv-LV"/>
        </w:rPr>
        <w:t>4</w:t>
      </w:r>
      <w:r w:rsidR="008F352D">
        <w:rPr>
          <w:rFonts w:cs="Times New Roman"/>
          <w:sz w:val="22"/>
          <w:szCs w:val="22"/>
          <w:lang w:val="lv-LV"/>
        </w:rPr>
        <w:t>. pants</w:t>
      </w:r>
      <w:r w:rsidRPr="00944992">
        <w:rPr>
          <w:rFonts w:cs="Times New Roman"/>
          <w:sz w:val="22"/>
          <w:szCs w:val="22"/>
          <w:lang w:val="lv-LV"/>
        </w:rPr>
        <w:br/>
      </w:r>
      <w:bookmarkEnd w:id="23"/>
      <w:bookmarkEnd w:id="24"/>
      <w:bookmarkEnd w:id="25"/>
      <w:bookmarkEnd w:id="26"/>
      <w:bookmarkEnd w:id="27"/>
      <w:bookmarkEnd w:id="28"/>
      <w:r w:rsidR="008F352D">
        <w:rPr>
          <w:rFonts w:cs="Times New Roman"/>
          <w:sz w:val="22"/>
          <w:szCs w:val="22"/>
          <w:lang w:val="lv-LV"/>
        </w:rPr>
        <w:t xml:space="preserve">Rezerves procedūru priekšlikuma publicēšana un </w:t>
      </w:r>
      <w:bookmarkEnd w:id="29"/>
      <w:r w:rsidR="008F352D">
        <w:rPr>
          <w:rFonts w:cs="Times New Roman"/>
          <w:sz w:val="22"/>
          <w:szCs w:val="22"/>
          <w:lang w:val="lv-LV"/>
        </w:rPr>
        <w:t>ieviešana</w:t>
      </w:r>
      <w:bookmarkEnd w:id="30"/>
    </w:p>
    <w:p w14:paraId="6E74D0D9" w14:textId="047F51B4" w:rsidR="009C6F86" w:rsidRPr="00944992" w:rsidRDefault="008F352D" w:rsidP="00514676">
      <w:pPr>
        <w:jc w:val="both"/>
        <w:rPr>
          <w:rFonts w:ascii="Times New Roman" w:hAnsi="Times New Roman" w:cs="Times New Roman"/>
          <w:lang w:val="lv-LV"/>
        </w:rPr>
      </w:pPr>
      <w:r>
        <w:rPr>
          <w:rFonts w:ascii="Times New Roman" w:hAnsi="Times New Roman" w:cs="Times New Roman"/>
          <w:lang w:val="lv-LV"/>
        </w:rPr>
        <w:t xml:space="preserve">PSO </w:t>
      </w:r>
      <w:r w:rsidR="0064415A">
        <w:rPr>
          <w:rFonts w:ascii="Times New Roman" w:hAnsi="Times New Roman" w:cs="Times New Roman"/>
          <w:lang w:val="lv-LV"/>
        </w:rPr>
        <w:t xml:space="preserve">bez nepamatotas kavēšanās publicē un ievieš Rezerves procedūru priekšlikumu </w:t>
      </w:r>
      <w:r w:rsidR="003B30F9">
        <w:rPr>
          <w:rFonts w:ascii="Times New Roman" w:hAnsi="Times New Roman" w:cs="Times New Roman"/>
          <w:lang w:val="lv-LV"/>
        </w:rPr>
        <w:t xml:space="preserve">pēc tam, kad </w:t>
      </w:r>
      <w:r w:rsidR="003B30F9" w:rsidRPr="003B30F9">
        <w:rPr>
          <w:rFonts w:ascii="Times New Roman" w:hAnsi="Times New Roman" w:cs="Times New Roman"/>
          <w:lang w:val="lv-LV"/>
        </w:rPr>
        <w:t xml:space="preserve">visu </w:t>
      </w:r>
      <w:r w:rsidR="00BD3DC6">
        <w:rPr>
          <w:rFonts w:ascii="Times New Roman" w:hAnsi="Times New Roman" w:cs="Times New Roman"/>
          <w:lang w:val="lv-LV"/>
        </w:rPr>
        <w:t xml:space="preserve">valstu regulatīvās iestādes </w:t>
      </w:r>
      <w:r w:rsidR="003B30F9">
        <w:rPr>
          <w:rFonts w:ascii="Times New Roman" w:hAnsi="Times New Roman" w:cs="Times New Roman"/>
          <w:lang w:val="lv-LV"/>
        </w:rPr>
        <w:t xml:space="preserve">ir </w:t>
      </w:r>
      <w:r w:rsidR="003B30F9" w:rsidRPr="003B30F9">
        <w:rPr>
          <w:rFonts w:ascii="Times New Roman" w:hAnsi="Times New Roman" w:cs="Times New Roman"/>
          <w:lang w:val="lv-LV"/>
        </w:rPr>
        <w:t>apstip</w:t>
      </w:r>
      <w:r w:rsidR="003B30F9">
        <w:rPr>
          <w:rFonts w:ascii="Times New Roman" w:hAnsi="Times New Roman" w:cs="Times New Roman"/>
          <w:lang w:val="lv-LV"/>
        </w:rPr>
        <w:t>r</w:t>
      </w:r>
      <w:r w:rsidR="003B30F9" w:rsidRPr="003B30F9">
        <w:rPr>
          <w:rFonts w:ascii="Times New Roman" w:hAnsi="Times New Roman" w:cs="Times New Roman"/>
          <w:lang w:val="lv-LV"/>
        </w:rPr>
        <w:t>ināju</w:t>
      </w:r>
      <w:r w:rsidR="003B30F9">
        <w:rPr>
          <w:rFonts w:ascii="Times New Roman" w:hAnsi="Times New Roman" w:cs="Times New Roman"/>
          <w:lang w:val="lv-LV"/>
        </w:rPr>
        <w:t>šas ierosinātās Rezerves procedūras</w:t>
      </w:r>
      <w:r w:rsidR="00BD3DC6">
        <w:rPr>
          <w:rFonts w:ascii="Times New Roman" w:hAnsi="Times New Roman" w:cs="Times New Roman"/>
          <w:lang w:val="lv-LV"/>
        </w:rPr>
        <w:t>,</w:t>
      </w:r>
      <w:r w:rsidR="003B30F9" w:rsidRPr="003B30F9">
        <w:rPr>
          <w:rFonts w:ascii="Times New Roman" w:hAnsi="Times New Roman" w:cs="Times New Roman"/>
          <w:lang w:val="lv-LV"/>
        </w:rPr>
        <w:t xml:space="preserve"> vai pēc </w:t>
      </w:r>
      <w:proofErr w:type="spellStart"/>
      <w:r w:rsidR="003B30F9" w:rsidRPr="003B30F9">
        <w:rPr>
          <w:rFonts w:ascii="Times New Roman" w:hAnsi="Times New Roman" w:cs="Times New Roman"/>
          <w:lang w:val="lv-LV"/>
        </w:rPr>
        <w:t>Energoregulatoru</w:t>
      </w:r>
      <w:proofErr w:type="spellEnd"/>
      <w:r w:rsidR="003B30F9" w:rsidRPr="003B30F9">
        <w:rPr>
          <w:rFonts w:ascii="Times New Roman" w:hAnsi="Times New Roman" w:cs="Times New Roman"/>
          <w:lang w:val="lv-LV"/>
        </w:rPr>
        <w:t xml:space="preserve"> sadarbības aģentūras lēmuma pieņemšanas saskaņā ar </w:t>
      </w:r>
      <w:r w:rsidR="00BD3DC6">
        <w:rPr>
          <w:rFonts w:ascii="Times New Roman" w:hAnsi="Times New Roman" w:cs="Times New Roman"/>
          <w:lang w:val="lv-LV"/>
        </w:rPr>
        <w:t>R</w:t>
      </w:r>
      <w:r w:rsidR="003B30F9" w:rsidRPr="003B30F9">
        <w:rPr>
          <w:rFonts w:ascii="Times New Roman" w:hAnsi="Times New Roman" w:cs="Times New Roman"/>
          <w:lang w:val="lv-LV"/>
        </w:rPr>
        <w:t>egulas</w:t>
      </w:r>
      <w:r w:rsidR="00BD3DC6">
        <w:rPr>
          <w:rFonts w:ascii="Times New Roman" w:hAnsi="Times New Roman" w:cs="Times New Roman"/>
          <w:lang w:val="lv-LV"/>
        </w:rPr>
        <w:t> 2015/1222</w:t>
      </w:r>
      <w:r w:rsidR="003B30F9" w:rsidRPr="003B30F9">
        <w:rPr>
          <w:rFonts w:ascii="Times New Roman" w:hAnsi="Times New Roman" w:cs="Times New Roman"/>
          <w:lang w:val="lv-LV"/>
        </w:rPr>
        <w:t xml:space="preserve"> 9. panta 11. un 12. punktu</w:t>
      </w:r>
      <w:r w:rsidR="009C6F86" w:rsidRPr="00944992">
        <w:rPr>
          <w:rFonts w:ascii="Times New Roman" w:hAnsi="Times New Roman" w:cs="Times New Roman"/>
          <w:lang w:val="lv-LV"/>
        </w:rPr>
        <w:t xml:space="preserve">. </w:t>
      </w:r>
    </w:p>
    <w:p w14:paraId="50B5C9FC" w14:textId="77777777" w:rsidR="00514676" w:rsidRPr="00944992" w:rsidRDefault="00514676" w:rsidP="00366907">
      <w:pPr>
        <w:pStyle w:val="Sarakstarindkopa"/>
        <w:spacing w:after="0" w:line="240" w:lineRule="auto"/>
        <w:ind w:left="360"/>
        <w:rPr>
          <w:rFonts w:ascii="Times New Roman" w:hAnsi="Times New Roman" w:cs="Times New Roman"/>
          <w:lang w:val="lv-LV"/>
        </w:rPr>
      </w:pPr>
    </w:p>
    <w:p w14:paraId="30B2BFB0" w14:textId="0FF5EFA3" w:rsidR="009C6F86" w:rsidRPr="00944992" w:rsidRDefault="009C6F86" w:rsidP="009C6F86">
      <w:pPr>
        <w:pStyle w:val="headline2"/>
        <w:rPr>
          <w:rFonts w:cs="Times New Roman"/>
          <w:sz w:val="22"/>
          <w:szCs w:val="22"/>
          <w:lang w:val="lv-LV"/>
        </w:rPr>
      </w:pPr>
      <w:bookmarkStart w:id="32" w:name="_Toc432586786"/>
      <w:bookmarkStart w:id="33" w:name="_Toc432586806"/>
      <w:bookmarkStart w:id="34" w:name="_Toc464485821"/>
      <w:bookmarkStart w:id="35" w:name="_Toc489572874"/>
      <w:r w:rsidRPr="00944992">
        <w:rPr>
          <w:rFonts w:cs="Times New Roman"/>
          <w:sz w:val="22"/>
          <w:szCs w:val="22"/>
          <w:lang w:val="lv-LV"/>
        </w:rPr>
        <w:t>5</w:t>
      </w:r>
      <w:r w:rsidR="008F352D">
        <w:rPr>
          <w:rFonts w:cs="Times New Roman"/>
          <w:sz w:val="22"/>
          <w:szCs w:val="22"/>
          <w:lang w:val="lv-LV"/>
        </w:rPr>
        <w:t>. pants</w:t>
      </w:r>
      <w:r w:rsidR="008F352D">
        <w:rPr>
          <w:rFonts w:cs="Times New Roman"/>
          <w:sz w:val="22"/>
          <w:szCs w:val="22"/>
          <w:lang w:val="lv-LV"/>
        </w:rPr>
        <w:br/>
        <w:t>Valoda</w:t>
      </w:r>
      <w:bookmarkEnd w:id="32"/>
      <w:bookmarkEnd w:id="33"/>
      <w:bookmarkEnd w:id="34"/>
      <w:bookmarkEnd w:id="35"/>
    </w:p>
    <w:p w14:paraId="000486EB" w14:textId="5F430272" w:rsidR="009C28B4" w:rsidRPr="00944992" w:rsidRDefault="008F352D" w:rsidP="00514676">
      <w:pPr>
        <w:spacing w:after="120"/>
        <w:jc w:val="both"/>
        <w:rPr>
          <w:rFonts w:ascii="Times New Roman" w:hAnsi="Times New Roman" w:cs="Times New Roman"/>
          <w:lang w:val="lv-LV"/>
        </w:rPr>
      </w:pPr>
      <w:r>
        <w:rPr>
          <w:rFonts w:ascii="Times New Roman" w:hAnsi="Times New Roman" w:cs="Times New Roman"/>
          <w:lang w:val="lv-LV"/>
        </w:rPr>
        <w:t>Šī Rezerves procedūru priekšlikuma</w:t>
      </w:r>
      <w:r w:rsidRPr="008F352D">
        <w:rPr>
          <w:rFonts w:ascii="Times New Roman" w:hAnsi="Times New Roman" w:cs="Times New Roman"/>
          <w:lang w:val="lv-LV"/>
        </w:rPr>
        <w:t xml:space="preserve"> atsauces valoda ir angļu valoda. Lai novērstu neskaidrības, gadījumā ja PSO nepieciešams tulkot </w:t>
      </w:r>
      <w:r>
        <w:rPr>
          <w:rFonts w:ascii="Times New Roman" w:hAnsi="Times New Roman" w:cs="Times New Roman"/>
          <w:lang w:val="lv-LV"/>
        </w:rPr>
        <w:t>šo Rezerves procedūru p</w:t>
      </w:r>
      <w:r w:rsidRPr="008F352D">
        <w:rPr>
          <w:rFonts w:ascii="Times New Roman" w:hAnsi="Times New Roman" w:cs="Times New Roman"/>
          <w:lang w:val="lv-LV"/>
        </w:rPr>
        <w:t xml:space="preserve">riekšlikumu valsts valodā(-s), neatbilstību gadījumā starp PSO publicēto versiju angļu valodā saskaņā ar Regulas 2015/1222 9. panta 14. punktu un jebkuru versiju citā valodā, attiecīgie PSO saskaņā ar valstu tiesību aktiem nodrošina attiecīgajām valstu regulatīvajām iestādēm atjauninātu </w:t>
      </w:r>
      <w:r>
        <w:rPr>
          <w:rFonts w:ascii="Times New Roman" w:hAnsi="Times New Roman" w:cs="Times New Roman"/>
          <w:lang w:val="lv-LV"/>
        </w:rPr>
        <w:t>Rezerves procedūru p</w:t>
      </w:r>
      <w:r w:rsidRPr="008F352D">
        <w:rPr>
          <w:rFonts w:ascii="Times New Roman" w:hAnsi="Times New Roman" w:cs="Times New Roman"/>
          <w:lang w:val="lv-LV"/>
        </w:rPr>
        <w:t>riekšlikuma tulkojumu</w:t>
      </w:r>
      <w:r w:rsidR="009C6F86" w:rsidRPr="00944992">
        <w:rPr>
          <w:rFonts w:ascii="Times New Roman" w:hAnsi="Times New Roman" w:cs="Times New Roman"/>
          <w:lang w:val="lv-LV"/>
        </w:rPr>
        <w:t xml:space="preserve">. </w:t>
      </w:r>
      <w:bookmarkEnd w:id="31"/>
    </w:p>
    <w:sectPr w:rsidR="009C28B4" w:rsidRPr="009449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23C19" w14:textId="77777777" w:rsidR="00B86D78" w:rsidRDefault="00B86D78" w:rsidP="00B35F34">
      <w:r>
        <w:separator/>
      </w:r>
    </w:p>
  </w:endnote>
  <w:endnote w:type="continuationSeparator" w:id="0">
    <w:p w14:paraId="4FF23ADF" w14:textId="77777777" w:rsidR="00B86D78" w:rsidRDefault="00B86D78" w:rsidP="00B3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55FE" w14:textId="77777777" w:rsidR="00B35F34" w:rsidRDefault="00B35F3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0006" w14:textId="77777777" w:rsidR="00B35F34" w:rsidRDefault="00B35F3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D95D" w14:textId="77777777" w:rsidR="00B35F34" w:rsidRDefault="00B35F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8D6D3" w14:textId="77777777" w:rsidR="00B86D78" w:rsidRDefault="00B86D78" w:rsidP="00B35F34">
      <w:r>
        <w:separator/>
      </w:r>
    </w:p>
  </w:footnote>
  <w:footnote w:type="continuationSeparator" w:id="0">
    <w:p w14:paraId="643B7D03" w14:textId="77777777" w:rsidR="00B86D78" w:rsidRDefault="00B86D78" w:rsidP="00B3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D804" w14:textId="6537321C" w:rsidR="00B35F34" w:rsidRDefault="00B35F3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9990" w14:textId="118A4141" w:rsidR="00B35F34" w:rsidRDefault="00B35F3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198F" w14:textId="6CA3DBE1" w:rsidR="00B35F34" w:rsidRDefault="00B35F3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333F"/>
    <w:multiLevelType w:val="hybridMultilevel"/>
    <w:tmpl w:val="FA3A22B0"/>
    <w:lvl w:ilvl="0" w:tplc="04260017">
      <w:start w:val="1"/>
      <w:numFmt w:val="lowerLetter"/>
      <w:lvlText w:val="%1)"/>
      <w:lvlJc w:val="left"/>
      <w:pPr>
        <w:ind w:left="1440" w:hanging="360"/>
      </w:p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start w:val="1"/>
      <w:numFmt w:val="decimal"/>
      <w:lvlText w:val="%4."/>
      <w:lvlJc w:val="left"/>
      <w:pPr>
        <w:ind w:left="3600" w:hanging="360"/>
      </w:pPr>
    </w:lvl>
    <w:lvl w:ilvl="4" w:tplc="04070019">
      <w:start w:val="1"/>
      <w:numFmt w:val="lowerLetter"/>
      <w:lvlText w:val="%5."/>
      <w:lvlJc w:val="left"/>
      <w:pPr>
        <w:ind w:left="4320" w:hanging="360"/>
      </w:pPr>
    </w:lvl>
    <w:lvl w:ilvl="5" w:tplc="0407001B">
      <w:start w:val="1"/>
      <w:numFmt w:val="lowerRoman"/>
      <w:lvlText w:val="%6."/>
      <w:lvlJc w:val="right"/>
      <w:pPr>
        <w:ind w:left="5040" w:hanging="180"/>
      </w:pPr>
    </w:lvl>
    <w:lvl w:ilvl="6" w:tplc="0407000F">
      <w:start w:val="1"/>
      <w:numFmt w:val="decimal"/>
      <w:lvlText w:val="%7."/>
      <w:lvlJc w:val="left"/>
      <w:pPr>
        <w:ind w:left="5760" w:hanging="360"/>
      </w:pPr>
    </w:lvl>
    <w:lvl w:ilvl="7" w:tplc="04070019">
      <w:start w:val="1"/>
      <w:numFmt w:val="lowerLetter"/>
      <w:lvlText w:val="%8."/>
      <w:lvlJc w:val="left"/>
      <w:pPr>
        <w:ind w:left="6480" w:hanging="360"/>
      </w:pPr>
    </w:lvl>
    <w:lvl w:ilvl="8" w:tplc="0407001B">
      <w:start w:val="1"/>
      <w:numFmt w:val="lowerRoman"/>
      <w:lvlText w:val="%9."/>
      <w:lvlJc w:val="right"/>
      <w:pPr>
        <w:ind w:left="7200" w:hanging="180"/>
      </w:pPr>
    </w:lvl>
  </w:abstractNum>
  <w:abstractNum w:abstractNumId="1" w15:restartNumberingAfterBreak="0">
    <w:nsid w:val="102A6098"/>
    <w:multiLevelType w:val="hybridMultilevel"/>
    <w:tmpl w:val="EB84B0B4"/>
    <w:lvl w:ilvl="0" w:tplc="04260011">
      <w:start w:val="1"/>
      <w:numFmt w:val="decimal"/>
      <w:lvlText w:val="%1)"/>
      <w:lvlJc w:val="left"/>
      <w:pPr>
        <w:ind w:left="1068" w:hanging="360"/>
      </w:pPr>
      <w:rPr>
        <w:rFonts w:hint="default"/>
        <w:b w:val="0"/>
      </w:rPr>
    </w:lvl>
    <w:lvl w:ilvl="1" w:tplc="6DEEA86A">
      <w:start w:val="1"/>
      <w:numFmt w:val="lowerLetter"/>
      <w:lvlText w:val="%2."/>
      <w:lvlJc w:val="left"/>
      <w:pPr>
        <w:ind w:left="1788" w:hanging="360"/>
      </w:pPr>
      <w:rPr>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6711767"/>
    <w:multiLevelType w:val="hybridMultilevel"/>
    <w:tmpl w:val="CDCA5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1A6947"/>
    <w:multiLevelType w:val="hybridMultilevel"/>
    <w:tmpl w:val="44C24C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39940FD6"/>
    <w:multiLevelType w:val="hybridMultilevel"/>
    <w:tmpl w:val="906E47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BDF29A7"/>
    <w:multiLevelType w:val="hybridMultilevel"/>
    <w:tmpl w:val="5204F91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6043038"/>
    <w:multiLevelType w:val="hybridMultilevel"/>
    <w:tmpl w:val="535ED19A"/>
    <w:lvl w:ilvl="0" w:tplc="04090017">
      <w:start w:val="1"/>
      <w:numFmt w:val="lowerLetter"/>
      <w:lvlText w:val="%1)"/>
      <w:lvlJc w:val="left"/>
      <w:pPr>
        <w:ind w:left="1068" w:hanging="360"/>
      </w:pPr>
    </w:lvl>
    <w:lvl w:ilvl="1" w:tplc="6C0A2FA8">
      <w:start w:val="1"/>
      <w:numFmt w:val="lowerLetter"/>
      <w:lvlText w:val="%2)"/>
      <w:lvlJc w:val="left"/>
      <w:pPr>
        <w:ind w:left="1788" w:hanging="360"/>
      </w:pPr>
    </w:lvl>
    <w:lvl w:ilvl="2" w:tplc="040B001B">
      <w:start w:val="1"/>
      <w:numFmt w:val="lowerRoman"/>
      <w:lvlText w:val="%3."/>
      <w:lvlJc w:val="right"/>
      <w:pPr>
        <w:ind w:left="2508" w:hanging="180"/>
      </w:pPr>
    </w:lvl>
    <w:lvl w:ilvl="3" w:tplc="040B000F">
      <w:start w:val="1"/>
      <w:numFmt w:val="decimal"/>
      <w:lvlText w:val="%4."/>
      <w:lvlJc w:val="left"/>
      <w:pPr>
        <w:ind w:left="3228" w:hanging="360"/>
      </w:pPr>
    </w:lvl>
    <w:lvl w:ilvl="4" w:tplc="040B0019">
      <w:start w:val="1"/>
      <w:numFmt w:val="lowerLetter"/>
      <w:lvlText w:val="%5."/>
      <w:lvlJc w:val="left"/>
      <w:pPr>
        <w:ind w:left="3948" w:hanging="360"/>
      </w:pPr>
    </w:lvl>
    <w:lvl w:ilvl="5" w:tplc="040B001B">
      <w:start w:val="1"/>
      <w:numFmt w:val="lowerRoman"/>
      <w:lvlText w:val="%6."/>
      <w:lvlJc w:val="right"/>
      <w:pPr>
        <w:ind w:left="4668" w:hanging="180"/>
      </w:pPr>
    </w:lvl>
    <w:lvl w:ilvl="6" w:tplc="040B000F">
      <w:start w:val="1"/>
      <w:numFmt w:val="decimal"/>
      <w:lvlText w:val="%7."/>
      <w:lvlJc w:val="left"/>
      <w:pPr>
        <w:ind w:left="5388" w:hanging="360"/>
      </w:pPr>
    </w:lvl>
    <w:lvl w:ilvl="7" w:tplc="040B0019">
      <w:start w:val="1"/>
      <w:numFmt w:val="lowerLetter"/>
      <w:lvlText w:val="%8."/>
      <w:lvlJc w:val="left"/>
      <w:pPr>
        <w:ind w:left="6108" w:hanging="360"/>
      </w:pPr>
    </w:lvl>
    <w:lvl w:ilvl="8" w:tplc="040B001B">
      <w:start w:val="1"/>
      <w:numFmt w:val="lowerRoman"/>
      <w:lvlText w:val="%9."/>
      <w:lvlJc w:val="right"/>
      <w:pPr>
        <w:ind w:left="6828" w:hanging="180"/>
      </w:pPr>
    </w:lvl>
  </w:abstractNum>
  <w:abstractNum w:abstractNumId="7" w15:restartNumberingAfterBreak="0">
    <w:nsid w:val="6E5C7D10"/>
    <w:multiLevelType w:val="hybridMultilevel"/>
    <w:tmpl w:val="5AAABA1C"/>
    <w:lvl w:ilvl="0" w:tplc="586E07F4">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C2E5725"/>
    <w:multiLevelType w:val="hybridMultilevel"/>
    <w:tmpl w:val="CDCA52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F86"/>
    <w:rsid w:val="00061E95"/>
    <w:rsid w:val="000C4F52"/>
    <w:rsid w:val="00112213"/>
    <w:rsid w:val="00183D95"/>
    <w:rsid w:val="00197B62"/>
    <w:rsid w:val="001A0920"/>
    <w:rsid w:val="001A65A7"/>
    <w:rsid w:val="001D1A49"/>
    <w:rsid w:val="001E7E3E"/>
    <w:rsid w:val="00244E79"/>
    <w:rsid w:val="00266186"/>
    <w:rsid w:val="00266FD5"/>
    <w:rsid w:val="002B6F20"/>
    <w:rsid w:val="00300ACC"/>
    <w:rsid w:val="0030116B"/>
    <w:rsid w:val="00303FC1"/>
    <w:rsid w:val="00340BC5"/>
    <w:rsid w:val="00346D18"/>
    <w:rsid w:val="00366907"/>
    <w:rsid w:val="00373584"/>
    <w:rsid w:val="00385568"/>
    <w:rsid w:val="00386F43"/>
    <w:rsid w:val="003A3F72"/>
    <w:rsid w:val="003B05F4"/>
    <w:rsid w:val="003B30F9"/>
    <w:rsid w:val="003E06EE"/>
    <w:rsid w:val="003E5F9E"/>
    <w:rsid w:val="003F30E6"/>
    <w:rsid w:val="00403BE3"/>
    <w:rsid w:val="00416462"/>
    <w:rsid w:val="004861D5"/>
    <w:rsid w:val="004A70AF"/>
    <w:rsid w:val="004F2791"/>
    <w:rsid w:val="004F3A3E"/>
    <w:rsid w:val="00505EC9"/>
    <w:rsid w:val="0050721E"/>
    <w:rsid w:val="00514676"/>
    <w:rsid w:val="00547664"/>
    <w:rsid w:val="00550DED"/>
    <w:rsid w:val="00560BE6"/>
    <w:rsid w:val="005921C6"/>
    <w:rsid w:val="005978F5"/>
    <w:rsid w:val="005D6E9B"/>
    <w:rsid w:val="005E226D"/>
    <w:rsid w:val="005F6E0D"/>
    <w:rsid w:val="0064415A"/>
    <w:rsid w:val="0066112E"/>
    <w:rsid w:val="006746B4"/>
    <w:rsid w:val="00681325"/>
    <w:rsid w:val="00683277"/>
    <w:rsid w:val="006B4310"/>
    <w:rsid w:val="006D4D48"/>
    <w:rsid w:val="006E6DA0"/>
    <w:rsid w:val="007938DD"/>
    <w:rsid w:val="007B138A"/>
    <w:rsid w:val="007C5525"/>
    <w:rsid w:val="00806213"/>
    <w:rsid w:val="00880376"/>
    <w:rsid w:val="008D0C0A"/>
    <w:rsid w:val="008E03F3"/>
    <w:rsid w:val="008F352D"/>
    <w:rsid w:val="00935448"/>
    <w:rsid w:val="00944992"/>
    <w:rsid w:val="00966970"/>
    <w:rsid w:val="009931C2"/>
    <w:rsid w:val="009B23E3"/>
    <w:rsid w:val="009C28B4"/>
    <w:rsid w:val="009C6F86"/>
    <w:rsid w:val="009F644E"/>
    <w:rsid w:val="00A45383"/>
    <w:rsid w:val="00B20EB6"/>
    <w:rsid w:val="00B26FE2"/>
    <w:rsid w:val="00B35F34"/>
    <w:rsid w:val="00B37DD8"/>
    <w:rsid w:val="00B86D78"/>
    <w:rsid w:val="00B93C23"/>
    <w:rsid w:val="00BA4AD2"/>
    <w:rsid w:val="00BD3DC6"/>
    <w:rsid w:val="00BF6D25"/>
    <w:rsid w:val="00C07DCA"/>
    <w:rsid w:val="00C16D3D"/>
    <w:rsid w:val="00C21455"/>
    <w:rsid w:val="00C24F6B"/>
    <w:rsid w:val="00C5208B"/>
    <w:rsid w:val="00C602AE"/>
    <w:rsid w:val="00C70857"/>
    <w:rsid w:val="00CF578D"/>
    <w:rsid w:val="00D54454"/>
    <w:rsid w:val="00D56AEE"/>
    <w:rsid w:val="00D6559D"/>
    <w:rsid w:val="00D66518"/>
    <w:rsid w:val="00DA0307"/>
    <w:rsid w:val="00DB0CEC"/>
    <w:rsid w:val="00DB3BBD"/>
    <w:rsid w:val="00DC700C"/>
    <w:rsid w:val="00DE1A8A"/>
    <w:rsid w:val="00DE1DD1"/>
    <w:rsid w:val="00DF09A9"/>
    <w:rsid w:val="00E376F4"/>
    <w:rsid w:val="00F220E3"/>
    <w:rsid w:val="00F95BF2"/>
    <w:rsid w:val="00FA0BBB"/>
    <w:rsid w:val="00FB3EC4"/>
    <w:rsid w:val="00FB402B"/>
    <w:rsid w:val="00FF2F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C18541"/>
  <w15:docId w15:val="{EF18D106-5BF6-41F5-9320-475CE4C3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C6F86"/>
    <w:pPr>
      <w:spacing w:after="0" w:line="240" w:lineRule="auto"/>
    </w:pPr>
    <w:rPr>
      <w:lang w:val="en-GB"/>
    </w:rPr>
  </w:style>
  <w:style w:type="paragraph" w:styleId="Virsraksts1">
    <w:name w:val="heading 1"/>
    <w:basedOn w:val="Parasts"/>
    <w:next w:val="Parasts"/>
    <w:link w:val="Virsraksts1Rakstz"/>
    <w:uiPriority w:val="9"/>
    <w:qFormat/>
    <w:rsid w:val="003855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unhideWhenUsed/>
    <w:rsid w:val="009C6F86"/>
    <w:rPr>
      <w:sz w:val="20"/>
      <w:szCs w:val="20"/>
    </w:rPr>
  </w:style>
  <w:style w:type="character" w:customStyle="1" w:styleId="KomentratekstsRakstz">
    <w:name w:val="Komentāra teksts Rakstz."/>
    <w:basedOn w:val="Noklusjumarindkopasfonts"/>
    <w:link w:val="Komentrateksts"/>
    <w:uiPriority w:val="99"/>
    <w:rsid w:val="009C6F86"/>
    <w:rPr>
      <w:sz w:val="20"/>
      <w:szCs w:val="20"/>
      <w:lang w:val="en-GB"/>
    </w:rPr>
  </w:style>
  <w:style w:type="paragraph" w:styleId="Sarakstarindkopa">
    <w:name w:val="List Paragraph"/>
    <w:basedOn w:val="Parasts"/>
    <w:uiPriority w:val="34"/>
    <w:qFormat/>
    <w:rsid w:val="009C6F86"/>
    <w:pPr>
      <w:spacing w:after="160" w:line="256" w:lineRule="auto"/>
      <w:ind w:left="720"/>
      <w:contextualSpacing/>
      <w:jc w:val="both"/>
    </w:pPr>
    <w:rPr>
      <w:lang w:val="fi-FI"/>
    </w:rPr>
  </w:style>
  <w:style w:type="paragraph" w:customStyle="1" w:styleId="headline2">
    <w:name w:val="headline 2"/>
    <w:basedOn w:val="Parasts"/>
    <w:uiPriority w:val="2"/>
    <w:qFormat/>
    <w:rsid w:val="009C6F86"/>
    <w:pPr>
      <w:spacing w:after="120" w:line="260" w:lineRule="exact"/>
      <w:jc w:val="center"/>
      <w:outlineLvl w:val="1"/>
    </w:pPr>
    <w:rPr>
      <w:rFonts w:ascii="Times New Roman" w:hAnsi="Times New Roman" w:cstheme="majorHAnsi"/>
      <w:b/>
      <w:color w:val="1F497D" w:themeColor="text2"/>
      <w:sz w:val="24"/>
      <w:szCs w:val="24"/>
    </w:rPr>
  </w:style>
  <w:style w:type="character" w:styleId="Komentraatsauce">
    <w:name w:val="annotation reference"/>
    <w:basedOn w:val="Noklusjumarindkopasfonts"/>
    <w:uiPriority w:val="99"/>
    <w:semiHidden/>
    <w:unhideWhenUsed/>
    <w:rsid w:val="009C6F86"/>
    <w:rPr>
      <w:sz w:val="16"/>
      <w:szCs w:val="16"/>
    </w:rPr>
  </w:style>
  <w:style w:type="paragraph" w:styleId="Balonteksts">
    <w:name w:val="Balloon Text"/>
    <w:basedOn w:val="Parasts"/>
    <w:link w:val="BalontekstsRakstz"/>
    <w:uiPriority w:val="99"/>
    <w:semiHidden/>
    <w:unhideWhenUsed/>
    <w:rsid w:val="009C6F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C6F86"/>
    <w:rPr>
      <w:rFonts w:ascii="Tahoma" w:hAnsi="Tahoma" w:cs="Tahoma"/>
      <w:sz w:val="16"/>
      <w:szCs w:val="16"/>
      <w:lang w:val="en-GB"/>
    </w:rPr>
  </w:style>
  <w:style w:type="paragraph" w:styleId="Komentratma">
    <w:name w:val="annotation subject"/>
    <w:basedOn w:val="Komentrateksts"/>
    <w:next w:val="Komentrateksts"/>
    <w:link w:val="KomentratmaRakstz"/>
    <w:uiPriority w:val="99"/>
    <w:semiHidden/>
    <w:unhideWhenUsed/>
    <w:rsid w:val="000C4F52"/>
    <w:rPr>
      <w:b/>
      <w:bCs/>
    </w:rPr>
  </w:style>
  <w:style w:type="character" w:customStyle="1" w:styleId="KomentratmaRakstz">
    <w:name w:val="Komentāra tēma Rakstz."/>
    <w:basedOn w:val="KomentratekstsRakstz"/>
    <w:link w:val="Komentratma"/>
    <w:uiPriority w:val="99"/>
    <w:semiHidden/>
    <w:rsid w:val="000C4F52"/>
    <w:rPr>
      <w:b/>
      <w:bCs/>
      <w:sz w:val="20"/>
      <w:szCs w:val="20"/>
      <w:lang w:val="en-GB"/>
    </w:rPr>
  </w:style>
  <w:style w:type="paragraph" w:customStyle="1" w:styleId="textregular">
    <w:name w:val="text regular"/>
    <w:basedOn w:val="Parasts"/>
    <w:link w:val="textregularZchn"/>
    <w:qFormat/>
    <w:rsid w:val="00366907"/>
    <w:pPr>
      <w:spacing w:after="120"/>
    </w:pPr>
  </w:style>
  <w:style w:type="paragraph" w:customStyle="1" w:styleId="headline1">
    <w:name w:val="headline 1"/>
    <w:basedOn w:val="textregular"/>
    <w:uiPriority w:val="2"/>
    <w:qFormat/>
    <w:rsid w:val="00366907"/>
    <w:pPr>
      <w:spacing w:before="400" w:line="340" w:lineRule="exact"/>
      <w:jc w:val="center"/>
      <w:outlineLvl w:val="0"/>
    </w:pPr>
    <w:rPr>
      <w:rFonts w:ascii="Times New Roman" w:hAnsi="Times New Roman" w:cstheme="majorHAnsi"/>
      <w:b/>
      <w:color w:val="1F497D" w:themeColor="text2"/>
      <w:sz w:val="24"/>
      <w:szCs w:val="28"/>
    </w:rPr>
  </w:style>
  <w:style w:type="character" w:customStyle="1" w:styleId="textregularZchn">
    <w:name w:val="text regular Zchn"/>
    <w:basedOn w:val="Noklusjumarindkopasfonts"/>
    <w:link w:val="textregular"/>
    <w:locked/>
    <w:rsid w:val="00366907"/>
    <w:rPr>
      <w:lang w:val="en-GB"/>
    </w:rPr>
  </w:style>
  <w:style w:type="table" w:styleId="Vidjssaraksts2">
    <w:name w:val="Medium List 2"/>
    <w:basedOn w:val="Parastatabula"/>
    <w:uiPriority w:val="66"/>
    <w:rsid w:val="003855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Virsraksts1Rakstz">
    <w:name w:val="Virsraksts 1 Rakstz."/>
    <w:basedOn w:val="Noklusjumarindkopasfonts"/>
    <w:link w:val="Virsraksts1"/>
    <w:uiPriority w:val="9"/>
    <w:rsid w:val="00385568"/>
    <w:rPr>
      <w:rFonts w:asciiTheme="majorHAnsi" w:eastAsiaTheme="majorEastAsia" w:hAnsiTheme="majorHAnsi" w:cstheme="majorBidi"/>
      <w:color w:val="365F91" w:themeColor="accent1" w:themeShade="BF"/>
      <w:sz w:val="32"/>
      <w:szCs w:val="32"/>
      <w:lang w:val="en-GB"/>
    </w:rPr>
  </w:style>
  <w:style w:type="paragraph" w:styleId="Saturardtjavirsraksts">
    <w:name w:val="TOC Heading"/>
    <w:basedOn w:val="Virsraksts1"/>
    <w:next w:val="Parasts"/>
    <w:uiPriority w:val="39"/>
    <w:unhideWhenUsed/>
    <w:qFormat/>
    <w:rsid w:val="00385568"/>
    <w:pPr>
      <w:spacing w:line="259" w:lineRule="auto"/>
      <w:outlineLvl w:val="9"/>
    </w:pPr>
    <w:rPr>
      <w:lang w:val="en-US"/>
    </w:rPr>
  </w:style>
  <w:style w:type="paragraph" w:styleId="Saturs2">
    <w:name w:val="toc 2"/>
    <w:basedOn w:val="Parasts"/>
    <w:next w:val="Parasts"/>
    <w:autoRedefine/>
    <w:uiPriority w:val="39"/>
    <w:unhideWhenUsed/>
    <w:rsid w:val="00385568"/>
    <w:pPr>
      <w:spacing w:after="100"/>
      <w:ind w:left="220"/>
    </w:pPr>
  </w:style>
  <w:style w:type="paragraph" w:styleId="Saturs1">
    <w:name w:val="toc 1"/>
    <w:basedOn w:val="Parasts"/>
    <w:next w:val="Parasts"/>
    <w:autoRedefine/>
    <w:uiPriority w:val="39"/>
    <w:unhideWhenUsed/>
    <w:rsid w:val="00385568"/>
    <w:pPr>
      <w:spacing w:after="100"/>
    </w:pPr>
  </w:style>
  <w:style w:type="character" w:styleId="Hipersaite">
    <w:name w:val="Hyperlink"/>
    <w:basedOn w:val="Noklusjumarindkopasfonts"/>
    <w:uiPriority w:val="99"/>
    <w:unhideWhenUsed/>
    <w:rsid w:val="00385568"/>
    <w:rPr>
      <w:color w:val="0000FF" w:themeColor="hyperlink"/>
      <w:u w:val="single"/>
    </w:rPr>
  </w:style>
  <w:style w:type="character" w:styleId="Izmantotahipersaite">
    <w:name w:val="FollowedHyperlink"/>
    <w:basedOn w:val="Noklusjumarindkopasfonts"/>
    <w:uiPriority w:val="99"/>
    <w:semiHidden/>
    <w:unhideWhenUsed/>
    <w:rsid w:val="00244E79"/>
    <w:rPr>
      <w:color w:val="800080" w:themeColor="followedHyperlink"/>
      <w:u w:val="single"/>
    </w:rPr>
  </w:style>
  <w:style w:type="paragraph" w:styleId="Prskatjums">
    <w:name w:val="Revision"/>
    <w:hidden/>
    <w:uiPriority w:val="99"/>
    <w:semiHidden/>
    <w:rsid w:val="00DC700C"/>
    <w:pPr>
      <w:spacing w:after="0" w:line="240" w:lineRule="auto"/>
    </w:pPr>
    <w:rPr>
      <w:lang w:val="en-GB"/>
    </w:rPr>
  </w:style>
  <w:style w:type="paragraph" w:styleId="Galvene">
    <w:name w:val="header"/>
    <w:basedOn w:val="Parasts"/>
    <w:link w:val="GalveneRakstz"/>
    <w:uiPriority w:val="99"/>
    <w:unhideWhenUsed/>
    <w:rsid w:val="00B35F34"/>
    <w:pPr>
      <w:tabs>
        <w:tab w:val="center" w:pos="4153"/>
        <w:tab w:val="right" w:pos="8306"/>
      </w:tabs>
    </w:pPr>
  </w:style>
  <w:style w:type="character" w:customStyle="1" w:styleId="GalveneRakstz">
    <w:name w:val="Galvene Rakstz."/>
    <w:basedOn w:val="Noklusjumarindkopasfonts"/>
    <w:link w:val="Galvene"/>
    <w:uiPriority w:val="99"/>
    <w:rsid w:val="00B35F34"/>
    <w:rPr>
      <w:lang w:val="en-GB"/>
    </w:rPr>
  </w:style>
  <w:style w:type="paragraph" w:styleId="Kjene">
    <w:name w:val="footer"/>
    <w:basedOn w:val="Parasts"/>
    <w:link w:val="KjeneRakstz"/>
    <w:uiPriority w:val="99"/>
    <w:unhideWhenUsed/>
    <w:rsid w:val="00B35F34"/>
    <w:pPr>
      <w:tabs>
        <w:tab w:val="center" w:pos="4153"/>
        <w:tab w:val="right" w:pos="8306"/>
      </w:tabs>
    </w:pPr>
  </w:style>
  <w:style w:type="character" w:customStyle="1" w:styleId="KjeneRakstz">
    <w:name w:val="Kājene Rakstz."/>
    <w:basedOn w:val="Noklusjumarindkopasfonts"/>
    <w:link w:val="Kjene"/>
    <w:uiPriority w:val="99"/>
    <w:rsid w:val="00B35F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576514">
      <w:bodyDiv w:val="1"/>
      <w:marLeft w:val="0"/>
      <w:marRight w:val="0"/>
      <w:marTop w:val="0"/>
      <w:marBottom w:val="0"/>
      <w:divBdr>
        <w:top w:val="none" w:sz="0" w:space="0" w:color="auto"/>
        <w:left w:val="none" w:sz="0" w:space="0" w:color="auto"/>
        <w:bottom w:val="none" w:sz="0" w:space="0" w:color="auto"/>
        <w:right w:val="none" w:sz="0" w:space="0" w:color="auto"/>
      </w:divBdr>
    </w:div>
    <w:div w:id="1162937092">
      <w:bodyDiv w:val="1"/>
      <w:marLeft w:val="0"/>
      <w:marRight w:val="0"/>
      <w:marTop w:val="0"/>
      <w:marBottom w:val="0"/>
      <w:divBdr>
        <w:top w:val="none" w:sz="0" w:space="0" w:color="auto"/>
        <w:left w:val="none" w:sz="0" w:space="0" w:color="auto"/>
        <w:bottom w:val="none" w:sz="0" w:space="0" w:color="auto"/>
        <w:right w:val="none" w:sz="0" w:space="0" w:color="auto"/>
      </w:divBdr>
    </w:div>
    <w:div w:id="20544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BDB4-6178-445E-A411-DF3CFEC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4943</Words>
  <Characters>2818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Elering OÜ</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Airi Noor</dc:creator>
  <cp:lastModifiedBy>Edīte Bieļa-Dailidoviča</cp:lastModifiedBy>
  <cp:revision>3</cp:revision>
  <dcterms:created xsi:type="dcterms:W3CDTF">2017-08-07T11:32:00Z</dcterms:created>
  <dcterms:modified xsi:type="dcterms:W3CDTF">2018-03-19T12:31:00Z</dcterms:modified>
</cp:coreProperties>
</file>