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Vidjssaraksts2"/>
        <w:tblpPr w:leftFromText="141" w:rightFromText="141" w:vertAnchor="page" w:horzAnchor="margin" w:tblpY="3436"/>
        <w:tblW w:w="0" w:type="auto"/>
        <w:tblLook w:val="04A0" w:firstRow="1" w:lastRow="0" w:firstColumn="1" w:lastColumn="0" w:noHBand="0" w:noVBand="1"/>
      </w:tblPr>
      <w:tblGrid>
        <w:gridCol w:w="9070"/>
      </w:tblGrid>
      <w:tr w:rsidR="00AC6C02" w:rsidRPr="00AC6C02" w:rsidTr="00BF37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72" w:type="dxa"/>
            <w:tcBorders>
              <w:bottom w:val="nil"/>
            </w:tcBorders>
          </w:tcPr>
          <w:p w:rsidR="00903A5F" w:rsidRPr="00AC6C02" w:rsidRDefault="00903A5F" w:rsidP="00BF371A">
            <w:pPr>
              <w:rPr>
                <w:rFonts w:ascii="Times New Roman" w:hAnsi="Times New Roman" w:cs="Times New Roman"/>
                <w:color w:val="auto"/>
                <w:sz w:val="80"/>
                <w:szCs w:val="80"/>
                <w:lang w:val="en-GB"/>
              </w:rPr>
            </w:pPr>
            <w:bookmarkStart w:id="0" w:name="_GoBack"/>
            <w:bookmarkEnd w:id="0"/>
          </w:p>
          <w:p w:rsidR="00903A5F" w:rsidRPr="00AC6C02" w:rsidRDefault="00903A5F" w:rsidP="00BF371A">
            <w:pPr>
              <w:jc w:val="center"/>
              <w:rPr>
                <w:rFonts w:ascii="Times New Roman" w:hAnsi="Times New Roman" w:cs="Times New Roman"/>
                <w:color w:val="auto"/>
                <w:sz w:val="32"/>
                <w:szCs w:val="32"/>
                <w:lang w:val="en-GB"/>
              </w:rPr>
            </w:pPr>
            <w:r w:rsidRPr="00AC6C02">
              <w:rPr>
                <w:rFonts w:ascii="Times New Roman" w:eastAsia="Times New Roman" w:hAnsi="Times New Roman" w:cs="Times New Roman"/>
                <w:b/>
                <w:color w:val="auto"/>
                <w:sz w:val="32"/>
                <w:szCs w:val="32"/>
                <w:lang w:val="lv-LV" w:bidi="lv-LV"/>
              </w:rPr>
              <w:t>Baltijas Jaudas aprēķināšanas reģiona pārvades sistēmu operatoru</w:t>
            </w:r>
            <w:r w:rsidRPr="00AC6C02">
              <w:rPr>
                <w:color w:val="auto"/>
                <w:lang w:val="lv-LV" w:bidi="lv-LV"/>
              </w:rPr>
              <w:t xml:space="preserve"> </w:t>
            </w:r>
            <w:r w:rsidRPr="00AC6C02">
              <w:rPr>
                <w:rFonts w:ascii="Times New Roman" w:eastAsia="Times New Roman" w:hAnsi="Times New Roman" w:cs="Times New Roman"/>
                <w:b/>
                <w:color w:val="auto"/>
                <w:sz w:val="32"/>
                <w:szCs w:val="32"/>
                <w:lang w:val="lv-LV" w:bidi="lv-LV"/>
              </w:rPr>
              <w:t xml:space="preserve">priekšlikums </w:t>
            </w:r>
            <w:proofErr w:type="spellStart"/>
            <w:r w:rsidRPr="00AC6C02">
              <w:rPr>
                <w:rFonts w:ascii="Times New Roman" w:eastAsia="Times New Roman" w:hAnsi="Times New Roman" w:cs="Times New Roman"/>
                <w:b/>
                <w:color w:val="auto"/>
                <w:sz w:val="32"/>
                <w:szCs w:val="32"/>
                <w:lang w:val="lv-LV" w:bidi="lv-LV"/>
              </w:rPr>
              <w:t>pārdispečēšanas</w:t>
            </w:r>
            <w:proofErr w:type="spellEnd"/>
            <w:r w:rsidRPr="00AC6C02">
              <w:rPr>
                <w:rFonts w:ascii="Times New Roman" w:eastAsia="Times New Roman" w:hAnsi="Times New Roman" w:cs="Times New Roman"/>
                <w:b/>
                <w:color w:val="auto"/>
                <w:sz w:val="32"/>
                <w:szCs w:val="32"/>
                <w:lang w:val="lv-LV" w:bidi="lv-LV"/>
              </w:rPr>
              <w:t xml:space="preserve"> un kompensācijas tirdzniecības izmaksu dalīšanas metodikai saskaņā ar Komisijas 2015. gada 24.jūlija Regulas (ES) 2015/1222, ar ko izveido jaudas piešķiršanas un pārslodzes vadības vadlīnijas, 74. pantu</w:t>
            </w:r>
          </w:p>
        </w:tc>
      </w:tr>
      <w:tr w:rsidR="00AC6C02" w:rsidRPr="00AC6C02" w:rsidTr="00BF37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right w:val="nil"/>
            </w:tcBorders>
          </w:tcPr>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80"/>
                <w:szCs w:val="80"/>
                <w:lang w:val="en-GB"/>
              </w:rPr>
            </w:pPr>
          </w:p>
          <w:p w:rsidR="00903A5F" w:rsidRPr="00AC6C02" w:rsidRDefault="00903A5F" w:rsidP="00BF371A">
            <w:pPr>
              <w:jc w:val="center"/>
              <w:rPr>
                <w:rFonts w:ascii="Times New Roman" w:hAnsi="Times New Roman" w:cs="Times New Roman"/>
                <w:color w:val="auto"/>
                <w:sz w:val="24"/>
                <w:szCs w:val="24"/>
                <w:lang w:val="en-GB"/>
              </w:rPr>
            </w:pPr>
            <w:r w:rsidRPr="00AC6C02">
              <w:rPr>
                <w:rFonts w:ascii="Times New Roman" w:hAnsi="Times New Roman" w:cs="Times New Roman"/>
                <w:color w:val="auto"/>
                <w:sz w:val="24"/>
                <w:szCs w:val="24"/>
                <w:lang w:val="en-GB"/>
              </w:rPr>
              <w:t>2018.gada 13. </w:t>
            </w:r>
            <w:proofErr w:type="spellStart"/>
            <w:r w:rsidRPr="00AC6C02">
              <w:rPr>
                <w:rFonts w:ascii="Times New Roman" w:hAnsi="Times New Roman" w:cs="Times New Roman"/>
                <w:color w:val="auto"/>
                <w:sz w:val="24"/>
                <w:szCs w:val="24"/>
                <w:lang w:val="en-GB"/>
              </w:rPr>
              <w:t>decembris</w:t>
            </w:r>
            <w:proofErr w:type="spellEnd"/>
          </w:p>
        </w:tc>
      </w:tr>
    </w:tbl>
    <w:p w:rsidR="00903A5F" w:rsidRPr="00AC6C02" w:rsidRDefault="00903A5F" w:rsidP="00903A5F">
      <w:pPr>
        <w:spacing w:after="0" w:line="240" w:lineRule="auto"/>
        <w:rPr>
          <w:rFonts w:ascii="Times New Roman" w:eastAsia="Times New Roman" w:hAnsi="Times New Roman" w:cs="Times New Roman"/>
          <w:sz w:val="19"/>
          <w:szCs w:val="19"/>
          <w:lang w:bidi="lv-LV"/>
        </w:rPr>
      </w:pPr>
      <w:r w:rsidRPr="00AC6C02">
        <w:rPr>
          <w:rFonts w:ascii="Times New Roman" w:eastAsia="Times New Roman" w:hAnsi="Times New Roman" w:cs="Times New Roman"/>
          <w:sz w:val="19"/>
          <w:szCs w:val="19"/>
          <w:lang w:bidi="lv-LV"/>
        </w:rPr>
        <w:br w:type="page"/>
      </w:r>
    </w:p>
    <w:p w:rsidR="00903A5F" w:rsidRPr="005E1537" w:rsidRDefault="00903A5F" w:rsidP="00903A5F">
      <w:pPr>
        <w:spacing w:after="0" w:line="240" w:lineRule="auto"/>
        <w:jc w:val="both"/>
        <w:rPr>
          <w:rFonts w:ascii="Times New Roman" w:hAnsi="Times New Roman" w:cs="Times New Roman"/>
        </w:rPr>
      </w:pPr>
      <w:r w:rsidRPr="00AC6C02">
        <w:rPr>
          <w:rFonts w:ascii="Times New Roman" w:eastAsia="Times New Roman" w:hAnsi="Times New Roman" w:cs="Times New Roman"/>
          <w:lang w:bidi="lv-LV"/>
        </w:rPr>
        <w:lastRenderedPageBreak/>
        <w:t>Visi Baltijas Jaudas aprēķināšanas reģiona pārvades sistēmas operatori, ņemot vērā šādus apsvērumus,</w:t>
      </w:r>
    </w:p>
    <w:p w:rsidR="00903A5F" w:rsidRPr="00AC6C02" w:rsidRDefault="00903A5F" w:rsidP="00903A5F">
      <w:pPr>
        <w:spacing w:after="0" w:line="240" w:lineRule="auto"/>
        <w:jc w:val="center"/>
        <w:outlineLvl w:val="0"/>
        <w:rPr>
          <w:rFonts w:ascii="Times New Roman" w:hAnsi="Times New Roman" w:cs="Times New Roman"/>
          <w:b/>
          <w:lang w:val="en-GB"/>
        </w:rPr>
      </w:pPr>
      <w:r w:rsidRPr="00AC6C02">
        <w:rPr>
          <w:rFonts w:ascii="Times New Roman" w:eastAsia="Times New Roman" w:hAnsi="Times New Roman" w:cs="Times New Roman"/>
          <w:b/>
          <w:lang w:bidi="lv-LV"/>
        </w:rPr>
        <w:t>tā kā:</w:t>
      </w:r>
    </w:p>
    <w:p w:rsidR="00903A5F" w:rsidRPr="00AC6C02" w:rsidRDefault="00903A5F" w:rsidP="00903A5F">
      <w:pPr>
        <w:numPr>
          <w:ilvl w:val="0"/>
          <w:numId w:val="2"/>
        </w:numPr>
        <w:spacing w:after="0" w:line="240" w:lineRule="auto"/>
        <w:jc w:val="both"/>
        <w:rPr>
          <w:rFonts w:ascii="Times New Roman" w:hAnsi="Times New Roman" w:cs="Times New Roman"/>
          <w:lang w:val="en-GB"/>
        </w:rPr>
      </w:pPr>
      <w:r w:rsidRPr="00AC6C02">
        <w:rPr>
          <w:rFonts w:ascii="Times New Roman" w:eastAsia="Times New Roman" w:hAnsi="Times New Roman" w:cs="Times New Roman"/>
          <w:lang w:bidi="lv-LV"/>
        </w:rPr>
        <w:t>Šis dokuments ir kopēja Baltijas jaudas aprēķināšanas reģiona (turpmāk tekstā - "Baltijas CCR") PSO (turpmāk tekstā - "PSO") izstrādāta</w:t>
      </w:r>
      <w:r w:rsidRPr="00AC6C02">
        <w:rPr>
          <w:rFonts w:ascii="Times New Roman" w:hAnsi="Times New Roman" w:cs="Times New Roman"/>
          <w:lang w:val="en-GB"/>
        </w:rPr>
        <w:t xml:space="preserve"> </w:t>
      </w:r>
      <w:proofErr w:type="spellStart"/>
      <w:r w:rsidRPr="00AC6C02">
        <w:rPr>
          <w:rFonts w:ascii="Times New Roman" w:eastAsia="Times New Roman" w:hAnsi="Times New Roman" w:cs="Times New Roman"/>
          <w:lang w:bidi="lv-LV"/>
        </w:rPr>
        <w:t>pārdispečēšanas</w:t>
      </w:r>
      <w:proofErr w:type="spellEnd"/>
      <w:r w:rsidRPr="00AC6C02">
        <w:rPr>
          <w:rFonts w:ascii="Times New Roman" w:eastAsia="Times New Roman" w:hAnsi="Times New Roman" w:cs="Times New Roman"/>
          <w:lang w:bidi="lv-LV"/>
        </w:rPr>
        <w:t xml:space="preserve"> un kompensācijas tirdzniecības izmaksu dalīšanas metodika (turpmāk tekstā - "CRCCS metodika")), kas izstrādāta saskaņā ar Komisijas Regulas (ES) 2015/1222, ar ko izveido jaudas piešķiršanas un pārslodzes vadības vadlīnijas, 74. pantu (turpmāk tekstā – "CACM regula"),</w:t>
      </w:r>
    </w:p>
    <w:p w:rsidR="00903A5F" w:rsidRPr="00AC6C02" w:rsidRDefault="00903A5F" w:rsidP="00903A5F">
      <w:pPr>
        <w:numPr>
          <w:ilvl w:val="0"/>
          <w:numId w:val="2"/>
        </w:numPr>
        <w:spacing w:before="120" w:after="0" w:line="240" w:lineRule="auto"/>
        <w:ind w:left="1066" w:hanging="357"/>
        <w:jc w:val="both"/>
        <w:rPr>
          <w:rFonts w:ascii="Times New Roman" w:hAnsi="Times New Roman" w:cs="Times New Roman"/>
        </w:rPr>
      </w:pPr>
      <w:r w:rsidRPr="00AC6C02">
        <w:rPr>
          <w:rFonts w:ascii="Times New Roman" w:eastAsia="Times New Roman" w:hAnsi="Times New Roman" w:cs="Times New Roman"/>
          <w:lang w:bidi="lv-LV"/>
        </w:rPr>
        <w:t>Saskaņā ar CACM regulas 9. panta 9. punktu ierosinātā CRCCS metodika visā Baltijas CCR veicina un nekādā veidā nekavē CACM regulas 3. panta mērķu sasniegšanu. CRCCS metodika nodrošina operatīvo drošību un taisnīgu un nediskriminējošu PSO attieksmi (CACM regulas 3. panta c) apakšpunkts un 3. panta e) punkts).</w:t>
      </w:r>
    </w:p>
    <w:p w:rsidR="00903A5F" w:rsidRPr="00AC6C02" w:rsidRDefault="00903A5F" w:rsidP="00903A5F">
      <w:pPr>
        <w:numPr>
          <w:ilvl w:val="0"/>
          <w:numId w:val="2"/>
        </w:numPr>
        <w:spacing w:before="120" w:after="0" w:line="240" w:lineRule="auto"/>
        <w:jc w:val="both"/>
        <w:rPr>
          <w:rFonts w:ascii="Times New Roman" w:hAnsi="Times New Roman" w:cs="Times New Roman"/>
        </w:rPr>
      </w:pPr>
      <w:r w:rsidRPr="00AC6C02">
        <w:rPr>
          <w:rFonts w:ascii="Times New Roman" w:hAnsi="Times New Roman" w:cs="Times New Roman"/>
        </w:rPr>
        <w:t xml:space="preserve">CRCCS metodoloģija papildina Baltijas CCR jaudas aprēķināšanas metodiku un kopējo CCR koordinētas </w:t>
      </w:r>
      <w:bookmarkStart w:id="1" w:name="_Hlk10641896"/>
      <w:proofErr w:type="spellStart"/>
      <w:r w:rsidRPr="00AC6C02">
        <w:rPr>
          <w:rFonts w:ascii="Times New Roman" w:hAnsi="Times New Roman" w:cs="Times New Roman"/>
        </w:rPr>
        <w:t>pārdispečēšanas</w:t>
      </w:r>
      <w:proofErr w:type="spellEnd"/>
      <w:r w:rsidRPr="00AC6C02">
        <w:rPr>
          <w:rFonts w:ascii="Times New Roman" w:hAnsi="Times New Roman" w:cs="Times New Roman"/>
        </w:rPr>
        <w:t xml:space="preserve"> un kompensācijas tirdzniecības </w:t>
      </w:r>
      <w:bookmarkEnd w:id="1"/>
      <w:r w:rsidRPr="00AC6C02">
        <w:rPr>
          <w:rFonts w:ascii="Times New Roman" w:hAnsi="Times New Roman" w:cs="Times New Roman"/>
        </w:rPr>
        <w:t xml:space="preserve">metodiku (turpmāk tekstā - “CRC metodoloģija”), veicinot efektīvu konkurenci (mazinot sastrēgumus) ražošanas, tirdzniecības un elektroenerģijas piegādes jomā un veicinot pārvades sistēmu un elektroenerģijas sektora efektīvu ilgtermiņa darbību un attīstību Eiropas Savienībā, efektīvi izmantojot un koordinējot </w:t>
      </w:r>
      <w:proofErr w:type="spellStart"/>
      <w:r w:rsidRPr="00AC6C02">
        <w:rPr>
          <w:rFonts w:ascii="Times New Roman" w:hAnsi="Times New Roman" w:cs="Times New Roman"/>
        </w:rPr>
        <w:t>pārdispečēšanas</w:t>
      </w:r>
      <w:proofErr w:type="spellEnd"/>
      <w:r w:rsidRPr="00AC6C02">
        <w:rPr>
          <w:rFonts w:ascii="Times New Roman" w:hAnsi="Times New Roman" w:cs="Times New Roman"/>
        </w:rPr>
        <w:t xml:space="preserve"> un kompensācijas tirdzniecības  resursus starp PSO (CACM regulas (3. panta a) apakšpunkts un 3. panta g) punkts). CRCCS metodoloģija palīdz nodrošināt un uzlabot informācijas </w:t>
      </w:r>
      <w:proofErr w:type="spellStart"/>
      <w:r w:rsidRPr="00AC6C02">
        <w:rPr>
          <w:rFonts w:ascii="Times New Roman" w:hAnsi="Times New Roman" w:cs="Times New Roman"/>
        </w:rPr>
        <w:t>pārredzamību</w:t>
      </w:r>
      <w:proofErr w:type="spellEnd"/>
      <w:r w:rsidRPr="00AC6C02">
        <w:rPr>
          <w:rFonts w:ascii="Times New Roman" w:hAnsi="Times New Roman" w:cs="Times New Roman"/>
        </w:rPr>
        <w:t xml:space="preserve"> un ticamību, nosakot PSO pienākumu apkopot datus par </w:t>
      </w:r>
      <w:proofErr w:type="spellStart"/>
      <w:r w:rsidRPr="00AC6C02">
        <w:rPr>
          <w:rFonts w:ascii="Times New Roman" w:hAnsi="Times New Roman" w:cs="Times New Roman"/>
        </w:rPr>
        <w:t>pārdispečēšanas</w:t>
      </w:r>
      <w:proofErr w:type="spellEnd"/>
      <w:r w:rsidRPr="00AC6C02">
        <w:rPr>
          <w:rFonts w:ascii="Times New Roman" w:hAnsi="Times New Roman" w:cs="Times New Roman"/>
        </w:rPr>
        <w:t xml:space="preserve">/kompensācijas tirdzniecības darbībām un publicēt ar to saistīto informāciju ENTSO-E </w:t>
      </w:r>
      <w:proofErr w:type="spellStart"/>
      <w:r w:rsidRPr="00AC6C02">
        <w:rPr>
          <w:rFonts w:ascii="Times New Roman" w:hAnsi="Times New Roman" w:cs="Times New Roman"/>
        </w:rPr>
        <w:t>pārredzamības</w:t>
      </w:r>
      <w:proofErr w:type="spellEnd"/>
      <w:r w:rsidRPr="00AC6C02">
        <w:rPr>
          <w:rFonts w:ascii="Times New Roman" w:hAnsi="Times New Roman" w:cs="Times New Roman"/>
        </w:rPr>
        <w:t xml:space="preserve"> platformā (CACM regulas 3. panta f) punkts).</w:t>
      </w:r>
    </w:p>
    <w:p w:rsidR="00903A5F" w:rsidRPr="00AC6C02" w:rsidRDefault="00903A5F" w:rsidP="00903A5F">
      <w:pPr>
        <w:numPr>
          <w:ilvl w:val="0"/>
          <w:numId w:val="2"/>
        </w:numPr>
        <w:spacing w:before="120" w:after="0" w:line="240" w:lineRule="auto"/>
        <w:ind w:left="1066" w:hanging="357"/>
        <w:jc w:val="both"/>
        <w:rPr>
          <w:rFonts w:ascii="Times New Roman" w:hAnsi="Times New Roman" w:cs="Times New Roman"/>
        </w:rPr>
      </w:pPr>
      <w:r w:rsidRPr="00AC6C02">
        <w:rPr>
          <w:rFonts w:ascii="Times New Roman" w:hAnsi="Times New Roman" w:cs="Times New Roman"/>
        </w:rPr>
        <w:t>Ja vien no konteksta neizriet citādi, šajā CRCCS metodikā:</w:t>
      </w:r>
    </w:p>
    <w:p w:rsidR="00903A5F" w:rsidRPr="00AC6C02" w:rsidRDefault="00903A5F" w:rsidP="00903A5F">
      <w:pPr>
        <w:spacing w:before="60" w:after="0" w:line="240" w:lineRule="auto"/>
        <w:ind w:left="1066" w:firstLine="372"/>
        <w:jc w:val="both"/>
        <w:rPr>
          <w:rFonts w:ascii="Times New Roman" w:hAnsi="Times New Roman" w:cs="Times New Roman"/>
        </w:rPr>
      </w:pPr>
      <w:r w:rsidRPr="00AC6C02">
        <w:rPr>
          <w:rFonts w:ascii="Times New Roman" w:hAnsi="Times New Roman" w:cs="Times New Roman"/>
        </w:rPr>
        <w:t>a) vienskaitlis nozīmē arī daudzskaitli un otrādi;</w:t>
      </w:r>
    </w:p>
    <w:p w:rsidR="00903A5F" w:rsidRPr="00AC6C02" w:rsidRDefault="00903A5F" w:rsidP="00903A5F">
      <w:pPr>
        <w:spacing w:before="60" w:after="0" w:line="240" w:lineRule="auto"/>
        <w:ind w:left="1438"/>
        <w:jc w:val="both"/>
        <w:rPr>
          <w:rFonts w:ascii="Times New Roman" w:hAnsi="Times New Roman" w:cs="Times New Roman"/>
        </w:rPr>
      </w:pPr>
      <w:r w:rsidRPr="00AC6C02">
        <w:rPr>
          <w:rFonts w:ascii="Times New Roman" w:hAnsi="Times New Roman" w:cs="Times New Roman"/>
        </w:rPr>
        <w:t>b) virsraksti ir ievietoti tikai ērtības labad un neietekmē šīs CRCCS metodikas interpretāciju;</w:t>
      </w:r>
    </w:p>
    <w:p w:rsidR="00903A5F" w:rsidRPr="00AC6C02" w:rsidRDefault="00903A5F" w:rsidP="00903A5F">
      <w:pPr>
        <w:spacing w:before="60" w:after="0" w:line="240" w:lineRule="auto"/>
        <w:ind w:left="1438"/>
        <w:jc w:val="both"/>
        <w:rPr>
          <w:rFonts w:ascii="Times New Roman" w:hAnsi="Times New Roman" w:cs="Times New Roman"/>
        </w:rPr>
      </w:pPr>
      <w:r w:rsidRPr="00AC6C02">
        <w:rPr>
          <w:rFonts w:ascii="Times New Roman" w:hAnsi="Times New Roman" w:cs="Times New Roman"/>
        </w:rPr>
        <w:t>c) jebkura atsauce uz tiesību aktiem, regulām, direktīvām, rīkojumiem, instrumentiem, kodiem vai jebkuru citu aktu ietver jebkādus tā grozījumus, paplašināšanu vai atjaunošanu, kad tie ir spēkā; un</w:t>
      </w:r>
    </w:p>
    <w:p w:rsidR="00903A5F" w:rsidRPr="00AC6C02" w:rsidRDefault="00903A5F" w:rsidP="00903A5F">
      <w:pPr>
        <w:spacing w:before="60" w:after="0" w:line="240" w:lineRule="auto"/>
        <w:ind w:left="1438"/>
        <w:jc w:val="both"/>
        <w:rPr>
          <w:rFonts w:ascii="Times New Roman" w:hAnsi="Times New Roman" w:cs="Times New Roman"/>
        </w:rPr>
      </w:pPr>
      <w:r w:rsidRPr="00AC6C02">
        <w:rPr>
          <w:rFonts w:ascii="Times New Roman" w:hAnsi="Times New Roman" w:cs="Times New Roman"/>
        </w:rPr>
        <w:t>d) atsauces uz “pantu”, ja vien nav norādīts citādi, ir atsauces uz šī CRCCS metodikas pantu.</w:t>
      </w:r>
    </w:p>
    <w:p w:rsidR="00903A5F" w:rsidRPr="00AC6C02" w:rsidRDefault="00903A5F" w:rsidP="00903A5F">
      <w:pPr>
        <w:numPr>
          <w:ilvl w:val="0"/>
          <w:numId w:val="2"/>
        </w:numPr>
        <w:spacing w:before="120" w:after="0" w:line="240" w:lineRule="auto"/>
        <w:jc w:val="both"/>
        <w:rPr>
          <w:rFonts w:ascii="Times New Roman" w:hAnsi="Times New Roman" w:cs="Times New Roman"/>
        </w:rPr>
      </w:pPr>
      <w:r w:rsidRPr="00AC6C02">
        <w:rPr>
          <w:rFonts w:ascii="Times New Roman" w:hAnsi="Times New Roman" w:cs="Times New Roman"/>
        </w:rPr>
        <w:t xml:space="preserve">Saskaņā ar CACM regulas 35. panta 2. punktu CRC metodikā jāiekļauj pārrobežu nozīmes pasākumi. Šajā CRCCS metodikā </w:t>
      </w:r>
      <w:proofErr w:type="spellStart"/>
      <w:r w:rsidRPr="00AC6C02">
        <w:rPr>
          <w:rFonts w:ascii="Times New Roman" w:hAnsi="Times New Roman" w:cs="Times New Roman"/>
        </w:rPr>
        <w:t>pārdispečēšanas</w:t>
      </w:r>
      <w:proofErr w:type="spellEnd"/>
      <w:r w:rsidRPr="00AC6C02">
        <w:rPr>
          <w:rFonts w:ascii="Times New Roman" w:hAnsi="Times New Roman" w:cs="Times New Roman"/>
        </w:rPr>
        <w:t xml:space="preserve"> un kompensācijas tirdzniecības  darbību pārrobežu nozīmi saprot kā vajadzību nodrošināt, ka šādas darbības nerada sastrēgumus uz citām robežām vai pārējām robežām. To nodrošina PSO, kas izmanto </w:t>
      </w:r>
      <w:proofErr w:type="spellStart"/>
      <w:r w:rsidRPr="00AC6C02">
        <w:rPr>
          <w:rFonts w:ascii="Times New Roman" w:hAnsi="Times New Roman" w:cs="Times New Roman"/>
        </w:rPr>
        <w:t>pārdispečēšanu</w:t>
      </w:r>
      <w:proofErr w:type="spellEnd"/>
      <w:r w:rsidRPr="00AC6C02">
        <w:rPr>
          <w:rFonts w:ascii="Times New Roman" w:hAnsi="Times New Roman" w:cs="Times New Roman"/>
        </w:rPr>
        <w:t xml:space="preserve"> vai kompensācijas tirdzniecību.</w:t>
      </w:r>
    </w:p>
    <w:p w:rsidR="00903A5F" w:rsidRPr="00AC6C02" w:rsidRDefault="00903A5F" w:rsidP="00903A5F">
      <w:pPr>
        <w:spacing w:after="0" w:line="240" w:lineRule="auto"/>
        <w:ind w:left="1080"/>
        <w:jc w:val="both"/>
        <w:rPr>
          <w:rFonts w:ascii="Times New Roman" w:eastAsia="Times New Roman" w:hAnsi="Times New Roman" w:cs="Times New Roman"/>
          <w:lang w:bidi="lv-LV"/>
        </w:rPr>
      </w:pPr>
    </w:p>
    <w:p w:rsidR="00903A5F" w:rsidRPr="00AC6C02" w:rsidRDefault="00903A5F" w:rsidP="00C14B82">
      <w:pPr>
        <w:spacing w:after="0" w:line="240" w:lineRule="auto"/>
        <w:jc w:val="both"/>
        <w:rPr>
          <w:rFonts w:ascii="Times New Roman" w:hAnsi="Times New Roman" w:cs="Times New Roman"/>
        </w:rPr>
      </w:pPr>
    </w:p>
    <w:p w:rsidR="00903A5F" w:rsidRPr="00AC6C02" w:rsidRDefault="00903A5F" w:rsidP="00903A5F">
      <w:pPr>
        <w:spacing w:after="0" w:line="240" w:lineRule="auto"/>
        <w:jc w:val="both"/>
        <w:rPr>
          <w:rFonts w:ascii="Times New Roman" w:eastAsia="Times New Roman" w:hAnsi="Times New Roman" w:cs="Times New Roman"/>
          <w:b/>
          <w:lang w:bidi="lv-LV"/>
        </w:rPr>
      </w:pPr>
      <w:r w:rsidRPr="00AC6C02">
        <w:rPr>
          <w:rFonts w:ascii="Times New Roman" w:eastAsia="Times New Roman" w:hAnsi="Times New Roman" w:cs="Times New Roman"/>
          <w:b/>
          <w:lang w:bidi="lv-LV"/>
        </w:rPr>
        <w:t xml:space="preserve">IESNIEDZ </w:t>
      </w:r>
      <w:r w:rsidR="00C14B82" w:rsidRPr="00AC6C02">
        <w:rPr>
          <w:rFonts w:ascii="Times New Roman" w:eastAsia="Times New Roman" w:hAnsi="Times New Roman" w:cs="Times New Roman"/>
          <w:b/>
          <w:lang w:bidi="lv-LV"/>
        </w:rPr>
        <w:t>BALTIJAS CCR REGULATĪVAJĀM IESTĀDĒM</w:t>
      </w:r>
      <w:r w:rsidRPr="00AC6C02">
        <w:rPr>
          <w:rFonts w:ascii="Times New Roman" w:eastAsia="Times New Roman" w:hAnsi="Times New Roman" w:cs="Times New Roman"/>
          <w:b/>
          <w:lang w:bidi="lv-LV"/>
        </w:rPr>
        <w:t xml:space="preserve"> ŠĀDU </w:t>
      </w:r>
      <w:r w:rsidR="00C14B82" w:rsidRPr="00AC6C02">
        <w:rPr>
          <w:rFonts w:ascii="Times New Roman" w:eastAsia="Times New Roman" w:hAnsi="Times New Roman" w:cs="Times New Roman"/>
          <w:b/>
          <w:lang w:bidi="lv-LV"/>
        </w:rPr>
        <w:t>CRCCS METODIKAS</w:t>
      </w:r>
      <w:r w:rsidRPr="00AC6C02">
        <w:rPr>
          <w:rFonts w:ascii="Times New Roman" w:eastAsia="Times New Roman" w:hAnsi="Times New Roman" w:cs="Times New Roman"/>
          <w:b/>
          <w:lang w:bidi="lv-LV"/>
        </w:rPr>
        <w:t xml:space="preserve"> PRIEKŠLIKUMU:</w:t>
      </w: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eastAsia="Times New Roman" w:hAnsi="Times New Roman" w:cs="Times New Roman"/>
          <w:b/>
          <w:lang w:bidi="lv-LV"/>
        </w:rPr>
      </w:pPr>
    </w:p>
    <w:p w:rsidR="00C14B82" w:rsidRPr="00AC6C02" w:rsidRDefault="00C14B82" w:rsidP="00903A5F">
      <w:pPr>
        <w:spacing w:after="0" w:line="240" w:lineRule="auto"/>
        <w:jc w:val="both"/>
        <w:rPr>
          <w:rFonts w:ascii="Times New Roman" w:hAnsi="Times New Roman" w:cs="Times New Roman"/>
          <w:b/>
        </w:rPr>
      </w:pPr>
    </w:p>
    <w:p w:rsidR="00C14B82" w:rsidRPr="00AC6C02" w:rsidRDefault="00C14B82" w:rsidP="00903A5F">
      <w:pPr>
        <w:spacing w:after="0" w:line="240" w:lineRule="auto"/>
        <w:jc w:val="center"/>
        <w:outlineLvl w:val="1"/>
        <w:rPr>
          <w:rFonts w:ascii="Times New Roman" w:eastAsia="Times New Roman" w:hAnsi="Times New Roman" w:cs="Times New Roman"/>
          <w:b/>
          <w:lang w:bidi="lv-LV"/>
        </w:rPr>
      </w:pPr>
    </w:p>
    <w:p w:rsidR="00903A5F" w:rsidRPr="00AC6C02" w:rsidRDefault="00903A5F" w:rsidP="00903A5F">
      <w:pPr>
        <w:spacing w:after="0" w:line="240" w:lineRule="auto"/>
        <w:jc w:val="center"/>
        <w:outlineLvl w:val="1"/>
        <w:rPr>
          <w:rFonts w:ascii="Times New Roman" w:eastAsia="Times New Roman" w:hAnsi="Times New Roman" w:cs="Times New Roman"/>
          <w:b/>
          <w:lang w:bidi="lv-LV"/>
        </w:rPr>
      </w:pPr>
      <w:r w:rsidRPr="00AC6C02">
        <w:rPr>
          <w:rFonts w:ascii="Times New Roman" w:eastAsia="Times New Roman" w:hAnsi="Times New Roman" w:cs="Times New Roman"/>
          <w:b/>
          <w:lang w:bidi="lv-LV"/>
        </w:rPr>
        <w:lastRenderedPageBreak/>
        <w:t>1. pants</w:t>
      </w:r>
      <w:r w:rsidRPr="00AC6C02">
        <w:rPr>
          <w:rFonts w:ascii="Times New Roman" w:eastAsia="Times New Roman" w:hAnsi="Times New Roman" w:cs="Times New Roman"/>
          <w:b/>
          <w:lang w:bidi="lv-LV"/>
        </w:rPr>
        <w:br/>
        <w:t>Priekšmets un darbības joma</w:t>
      </w:r>
    </w:p>
    <w:p w:rsidR="00C14B82" w:rsidRPr="00AC6C02" w:rsidRDefault="00C14B82" w:rsidP="00903A5F">
      <w:pPr>
        <w:spacing w:after="0" w:line="240" w:lineRule="auto"/>
        <w:jc w:val="center"/>
        <w:outlineLvl w:val="1"/>
        <w:rPr>
          <w:rFonts w:ascii="Times New Roman" w:hAnsi="Times New Roman" w:cs="Times New Roman"/>
          <w:b/>
        </w:rPr>
      </w:pPr>
    </w:p>
    <w:p w:rsidR="00C14B82" w:rsidRPr="00AC6C02" w:rsidRDefault="00C14B82" w:rsidP="00C14B82">
      <w:pPr>
        <w:spacing w:before="120" w:after="0" w:line="240" w:lineRule="auto"/>
        <w:ind w:left="426"/>
        <w:jc w:val="both"/>
        <w:rPr>
          <w:rFonts w:ascii="Times New Roman" w:hAnsi="Times New Roman" w:cs="Times New Roman"/>
        </w:rPr>
      </w:pPr>
      <w:r w:rsidRPr="00AC6C02">
        <w:rPr>
          <w:rFonts w:ascii="Times New Roman" w:hAnsi="Times New Roman" w:cs="Times New Roman"/>
        </w:rPr>
        <w:t>Šajā dokumentā noteiktā CRCCS metodika ir saistīta ar CRC metodoloģiju (izstrādāta saskaņā ar CACM regulas 35. pantu) un to uzskata par visu Baltijas CCR PSO kopīgo metodiku saskaņā ar CACM regulas 74. pantu un aptver CRCCS metodiku par:</w:t>
      </w:r>
    </w:p>
    <w:p w:rsidR="00C14B82" w:rsidRPr="00AC6C02" w:rsidRDefault="00C14B82" w:rsidP="00C14B82">
      <w:pPr>
        <w:keepNext/>
        <w:spacing w:after="0" w:line="240" w:lineRule="auto"/>
        <w:ind w:left="720"/>
        <w:jc w:val="both"/>
        <w:outlineLvl w:val="1"/>
        <w:rPr>
          <w:rFonts w:ascii="Times New Roman" w:eastAsia="Times New Roman" w:hAnsi="Times New Roman" w:cs="Times New Roman"/>
          <w:lang w:bidi="lv-LV"/>
        </w:rPr>
      </w:pPr>
      <w:r w:rsidRPr="00AC6C02">
        <w:rPr>
          <w:rFonts w:ascii="Times New Roman" w:eastAsia="Times New Roman" w:hAnsi="Times New Roman" w:cs="Times New Roman"/>
          <w:lang w:bidi="lv-LV"/>
        </w:rPr>
        <w:t xml:space="preserve">a. visām esošajām un nākotnes tirdzniecības zonu robežām un </w:t>
      </w:r>
      <w:proofErr w:type="spellStart"/>
      <w:r w:rsidRPr="00AC6C02">
        <w:rPr>
          <w:rFonts w:ascii="Times New Roman" w:eastAsia="Times New Roman" w:hAnsi="Times New Roman" w:cs="Times New Roman"/>
          <w:lang w:bidi="lv-LV"/>
        </w:rPr>
        <w:t>starpsavienojumiem</w:t>
      </w:r>
      <w:proofErr w:type="spellEnd"/>
      <w:r w:rsidRPr="00AC6C02">
        <w:rPr>
          <w:rFonts w:ascii="Times New Roman" w:eastAsia="Times New Roman" w:hAnsi="Times New Roman" w:cs="Times New Roman"/>
          <w:lang w:bidi="lv-LV"/>
        </w:rPr>
        <w:t>, kas iekļauti Baltijas CCR, uz kuriem attiecas CACM regula; un</w:t>
      </w:r>
    </w:p>
    <w:p w:rsidR="00C14B82" w:rsidRPr="00AC6C02" w:rsidRDefault="00C14B82" w:rsidP="0020172A">
      <w:pPr>
        <w:keepNext/>
        <w:spacing w:after="0" w:line="240" w:lineRule="auto"/>
        <w:ind w:left="720"/>
        <w:jc w:val="both"/>
        <w:outlineLvl w:val="1"/>
        <w:rPr>
          <w:rFonts w:ascii="Times New Roman" w:eastAsia="Times New Roman" w:hAnsi="Times New Roman" w:cs="Times New Roman"/>
          <w:lang w:bidi="lv-LV"/>
        </w:rPr>
      </w:pPr>
      <w:r w:rsidRPr="00AC6C02">
        <w:rPr>
          <w:rFonts w:ascii="Times New Roman" w:eastAsia="Times New Roman" w:hAnsi="Times New Roman" w:cs="Times New Roman"/>
          <w:lang w:bidi="lv-LV"/>
        </w:rPr>
        <w:t xml:space="preserve">b. kritiskie tīkla elementi, kas pieder PSO vai citām juridiskām personām un ietekmē Baltijas CCR tirdzniecības zonu robežu </w:t>
      </w:r>
      <w:proofErr w:type="spellStart"/>
      <w:r w:rsidRPr="00AC6C02">
        <w:rPr>
          <w:rFonts w:ascii="Times New Roman" w:eastAsia="Times New Roman" w:hAnsi="Times New Roman" w:cs="Times New Roman"/>
          <w:lang w:bidi="lv-LV"/>
        </w:rPr>
        <w:t>starpzonu</w:t>
      </w:r>
      <w:proofErr w:type="spellEnd"/>
      <w:r w:rsidRPr="00AC6C02">
        <w:rPr>
          <w:rFonts w:ascii="Times New Roman" w:eastAsia="Times New Roman" w:hAnsi="Times New Roman" w:cs="Times New Roman"/>
          <w:lang w:bidi="lv-LV"/>
        </w:rPr>
        <w:t xml:space="preserve"> jaudas.</w:t>
      </w:r>
    </w:p>
    <w:p w:rsidR="00C14B82" w:rsidRPr="00AC6C02" w:rsidRDefault="00C14B82" w:rsidP="00903A5F">
      <w:pPr>
        <w:keepNext/>
        <w:spacing w:after="0" w:line="240" w:lineRule="auto"/>
        <w:jc w:val="both"/>
        <w:outlineLvl w:val="1"/>
        <w:rPr>
          <w:rFonts w:ascii="Times New Roman" w:hAnsi="Times New Roman" w:cs="Times New Roman"/>
        </w:rPr>
      </w:pPr>
    </w:p>
    <w:p w:rsidR="00903A5F" w:rsidRPr="005E1537" w:rsidRDefault="00903A5F" w:rsidP="00903A5F">
      <w:pPr>
        <w:keepNext/>
        <w:spacing w:after="0" w:line="240" w:lineRule="auto"/>
        <w:jc w:val="center"/>
        <w:outlineLvl w:val="1"/>
        <w:rPr>
          <w:rFonts w:ascii="Times New Roman" w:hAnsi="Times New Roman" w:cs="Times New Roman"/>
          <w:b/>
        </w:rPr>
      </w:pPr>
      <w:r w:rsidRPr="00AC6C02">
        <w:rPr>
          <w:rFonts w:ascii="Times New Roman" w:eastAsia="Times New Roman" w:hAnsi="Times New Roman" w:cs="Times New Roman"/>
          <w:b/>
          <w:lang w:bidi="lv-LV"/>
        </w:rPr>
        <w:t>2. pants</w:t>
      </w:r>
      <w:r w:rsidRPr="00AC6C02">
        <w:rPr>
          <w:rFonts w:ascii="Times New Roman" w:eastAsia="Times New Roman" w:hAnsi="Times New Roman" w:cs="Times New Roman"/>
          <w:b/>
          <w:lang w:bidi="lv-LV"/>
        </w:rPr>
        <w:br/>
        <w:t xml:space="preserve">Definīcijas </w:t>
      </w:r>
    </w:p>
    <w:p w:rsidR="00C14B82" w:rsidRPr="005E1537" w:rsidRDefault="00C14B82" w:rsidP="00CB2240">
      <w:pPr>
        <w:pStyle w:val="Sarakstarindkopa"/>
        <w:spacing w:before="120" w:after="0" w:line="240" w:lineRule="auto"/>
        <w:ind w:left="425"/>
        <w:contextualSpacing w:val="0"/>
        <w:jc w:val="both"/>
        <w:rPr>
          <w:rFonts w:ascii="Times New Roman" w:hAnsi="Times New Roman" w:cs="Times New Roman"/>
        </w:rPr>
      </w:pPr>
      <w:r w:rsidRPr="00AC6C02">
        <w:rPr>
          <w:rFonts w:ascii="Times New Roman" w:eastAsia="Times New Roman" w:hAnsi="Times New Roman" w:cs="Times New Roman"/>
          <w:lang w:bidi="lv-LV"/>
        </w:rPr>
        <w:t>CRCC metodikas</w:t>
      </w:r>
      <w:r w:rsidR="00903A5F" w:rsidRPr="00AC6C02">
        <w:rPr>
          <w:rFonts w:ascii="Times New Roman" w:eastAsia="Times New Roman" w:hAnsi="Times New Roman" w:cs="Times New Roman"/>
          <w:lang w:bidi="lv-LV"/>
        </w:rPr>
        <w:t xml:space="preserve"> izpratnē šajā dokumentā minētajiem terminiem ir tāda pati nozīme kā </w:t>
      </w:r>
      <w:r w:rsidRPr="00AC6C02">
        <w:rPr>
          <w:rFonts w:ascii="Times New Roman" w:eastAsia="Times New Roman" w:hAnsi="Times New Roman" w:cs="Times New Roman"/>
          <w:lang w:bidi="lv-LV"/>
        </w:rPr>
        <w:t xml:space="preserve">CACM </w:t>
      </w:r>
      <w:r w:rsidR="00903A5F" w:rsidRPr="00AC6C02">
        <w:rPr>
          <w:rFonts w:ascii="Times New Roman" w:eastAsia="Times New Roman" w:hAnsi="Times New Roman" w:cs="Times New Roman"/>
          <w:lang w:bidi="lv-LV"/>
        </w:rPr>
        <w:t>Regulas 2. pantā, Regulas (EK) Nr. 714/2009 2. pantā, Direktīvas Nr. 2009/72/EK 2. pantā un Komisijas Regulas (ES) Nr. 543/2013 2. pantā iekļautajām definīcijām.</w:t>
      </w:r>
    </w:p>
    <w:p w:rsidR="00C14B82" w:rsidRPr="00AC6C02" w:rsidRDefault="00C14B82" w:rsidP="00C14B82">
      <w:pPr>
        <w:spacing w:before="120" w:after="0" w:line="240" w:lineRule="auto"/>
        <w:ind w:left="720"/>
        <w:jc w:val="both"/>
        <w:rPr>
          <w:rFonts w:ascii="Times New Roman" w:hAnsi="Times New Roman" w:cs="Times New Roman"/>
        </w:rPr>
      </w:pPr>
      <w:r w:rsidRPr="00AC6C02">
        <w:rPr>
          <w:rFonts w:ascii="Times New Roman" w:hAnsi="Times New Roman" w:cs="Times New Roman"/>
        </w:rPr>
        <w:t xml:space="preserve">1. “attiecīgie PSO” - divi Baltijas CCR PSO, kas darbojas abās </w:t>
      </w:r>
      <w:r w:rsidR="0080360E" w:rsidRPr="00AC6C02">
        <w:rPr>
          <w:rFonts w:ascii="Times New Roman" w:hAnsi="Times New Roman" w:cs="Times New Roman"/>
        </w:rPr>
        <w:t xml:space="preserve">pusēs </w:t>
      </w:r>
      <w:r w:rsidR="00BD7797" w:rsidRPr="00AC6C02">
        <w:rPr>
          <w:rFonts w:ascii="Times New Roman" w:hAnsi="Times New Roman" w:cs="Times New Roman"/>
        </w:rPr>
        <w:t>blakus esošo cenu zonu robež</w:t>
      </w:r>
      <w:r w:rsidR="0080360E" w:rsidRPr="00AC6C02">
        <w:rPr>
          <w:rFonts w:ascii="Times New Roman" w:hAnsi="Times New Roman" w:cs="Times New Roman"/>
        </w:rPr>
        <w:t>ai, uz</w:t>
      </w:r>
      <w:r w:rsidR="00BD7797" w:rsidRPr="00AC6C02">
        <w:rPr>
          <w:rFonts w:ascii="Times New Roman" w:hAnsi="Times New Roman" w:cs="Times New Roman"/>
        </w:rPr>
        <w:t xml:space="preserve"> </w:t>
      </w:r>
      <w:r w:rsidRPr="00AC6C02">
        <w:rPr>
          <w:rFonts w:ascii="Times New Roman" w:hAnsi="Times New Roman" w:cs="Times New Roman"/>
        </w:rPr>
        <w:t>kur</w:t>
      </w:r>
      <w:r w:rsidR="0080360E" w:rsidRPr="00AC6C02">
        <w:rPr>
          <w:rFonts w:ascii="Times New Roman" w:hAnsi="Times New Roman" w:cs="Times New Roman"/>
        </w:rPr>
        <w:t>as</w:t>
      </w:r>
      <w:r w:rsidRPr="00AC6C02">
        <w:rPr>
          <w:rFonts w:ascii="Times New Roman" w:hAnsi="Times New Roman" w:cs="Times New Roman"/>
        </w:rPr>
        <w:t xml:space="preserve"> </w:t>
      </w:r>
      <w:r w:rsidR="0080360E" w:rsidRPr="00AC6C02">
        <w:rPr>
          <w:rFonts w:ascii="Times New Roman" w:hAnsi="Times New Roman" w:cs="Times New Roman"/>
        </w:rPr>
        <w:t>paradās</w:t>
      </w:r>
      <w:r w:rsidRPr="00AC6C02">
        <w:rPr>
          <w:rFonts w:ascii="Times New Roman" w:hAnsi="Times New Roman" w:cs="Times New Roman"/>
        </w:rPr>
        <w:t xml:space="preserve"> sastrēgum</w:t>
      </w:r>
      <w:r w:rsidR="0080360E" w:rsidRPr="00AC6C02">
        <w:rPr>
          <w:rFonts w:ascii="Times New Roman" w:hAnsi="Times New Roman" w:cs="Times New Roman"/>
        </w:rPr>
        <w:t>s</w:t>
      </w:r>
      <w:r w:rsidRPr="00AC6C02">
        <w:rPr>
          <w:rFonts w:ascii="Times New Roman" w:hAnsi="Times New Roman" w:cs="Times New Roman"/>
        </w:rPr>
        <w:t>.</w:t>
      </w:r>
    </w:p>
    <w:p w:rsidR="00C14B82" w:rsidRPr="00AC6C02" w:rsidRDefault="00C14B82" w:rsidP="00C14B82">
      <w:pPr>
        <w:spacing w:after="0" w:line="240" w:lineRule="auto"/>
        <w:ind w:left="720"/>
        <w:jc w:val="both"/>
        <w:rPr>
          <w:rFonts w:ascii="Times New Roman" w:hAnsi="Times New Roman" w:cs="Times New Roman"/>
        </w:rPr>
      </w:pPr>
      <w:r w:rsidRPr="00AC6C02">
        <w:rPr>
          <w:rFonts w:ascii="Times New Roman" w:hAnsi="Times New Roman" w:cs="Times New Roman"/>
        </w:rPr>
        <w:t xml:space="preserve">2. “kopējās izmaksas” ir faktiskās izmaksas un ienākumi, kas attiecīgajiem PSO radušies attiecībā uz </w:t>
      </w:r>
      <w:r w:rsidR="0080360E" w:rsidRPr="00AC6C02">
        <w:rPr>
          <w:rFonts w:ascii="Times New Roman" w:hAnsi="Times New Roman" w:cs="Times New Roman"/>
        </w:rPr>
        <w:t xml:space="preserve">aktivizēto </w:t>
      </w:r>
      <w:proofErr w:type="spellStart"/>
      <w:r w:rsidR="0080360E" w:rsidRPr="00AC6C02">
        <w:rPr>
          <w:rFonts w:ascii="Times New Roman" w:hAnsi="Times New Roman" w:cs="Times New Roman"/>
        </w:rPr>
        <w:t>pārdispečēšanu</w:t>
      </w:r>
      <w:proofErr w:type="spellEnd"/>
      <w:r w:rsidR="0080360E" w:rsidRPr="00AC6C02">
        <w:rPr>
          <w:rFonts w:ascii="Times New Roman" w:hAnsi="Times New Roman" w:cs="Times New Roman"/>
        </w:rPr>
        <w:t xml:space="preserve"> un/vai kompensācijas tirdzniecību</w:t>
      </w:r>
      <w:r w:rsidRPr="00AC6C02">
        <w:rPr>
          <w:rFonts w:ascii="Times New Roman" w:hAnsi="Times New Roman" w:cs="Times New Roman"/>
        </w:rPr>
        <w:t>. T</w:t>
      </w:r>
      <w:r w:rsidR="0080360E" w:rsidRPr="00AC6C02">
        <w:rPr>
          <w:rFonts w:ascii="Times New Roman" w:hAnsi="Times New Roman" w:cs="Times New Roman"/>
        </w:rPr>
        <w:t>ā</w:t>
      </w:r>
      <w:r w:rsidRPr="00AC6C02">
        <w:rPr>
          <w:rFonts w:ascii="Times New Roman" w:hAnsi="Times New Roman" w:cs="Times New Roman"/>
        </w:rPr>
        <w:t>s ir ierobežot</w:t>
      </w:r>
      <w:r w:rsidR="0080360E" w:rsidRPr="00AC6C02">
        <w:rPr>
          <w:rFonts w:ascii="Times New Roman" w:hAnsi="Times New Roman" w:cs="Times New Roman"/>
        </w:rPr>
        <w:t>as, un tikai tad, ja tās attiecas uz;</w:t>
      </w:r>
    </w:p>
    <w:p w:rsidR="00C14B82" w:rsidRPr="00AC6C02" w:rsidRDefault="00C14B82" w:rsidP="0080360E">
      <w:pPr>
        <w:spacing w:after="0" w:line="240" w:lineRule="auto"/>
        <w:ind w:left="1440"/>
        <w:jc w:val="both"/>
        <w:rPr>
          <w:rFonts w:ascii="Times New Roman" w:hAnsi="Times New Roman" w:cs="Times New Roman"/>
        </w:rPr>
      </w:pPr>
      <w:r w:rsidRPr="00AC6C02">
        <w:rPr>
          <w:rFonts w:ascii="Times New Roman" w:hAnsi="Times New Roman" w:cs="Times New Roman"/>
        </w:rPr>
        <w:t xml:space="preserve">a. </w:t>
      </w:r>
      <w:r w:rsidR="0080360E" w:rsidRPr="00AC6C02">
        <w:rPr>
          <w:rFonts w:ascii="Times New Roman" w:hAnsi="Times New Roman" w:cs="Times New Roman"/>
        </w:rPr>
        <w:t xml:space="preserve">izmaksām un ieņēmumiem ražošanas un/vai slodzes modeļu </w:t>
      </w:r>
      <w:r w:rsidRPr="00AC6C02">
        <w:rPr>
          <w:rFonts w:ascii="Times New Roman" w:hAnsi="Times New Roman" w:cs="Times New Roman"/>
        </w:rPr>
        <w:t>palielināšana</w:t>
      </w:r>
      <w:r w:rsidR="0080360E" w:rsidRPr="00AC6C02">
        <w:rPr>
          <w:rFonts w:ascii="Times New Roman" w:hAnsi="Times New Roman" w:cs="Times New Roman"/>
        </w:rPr>
        <w:t>i</w:t>
      </w:r>
      <w:r w:rsidRPr="00AC6C02">
        <w:rPr>
          <w:rFonts w:ascii="Times New Roman" w:hAnsi="Times New Roman" w:cs="Times New Roman"/>
        </w:rPr>
        <w:t xml:space="preserve"> vai samazināšana</w:t>
      </w:r>
      <w:r w:rsidR="0080360E" w:rsidRPr="00AC6C02">
        <w:rPr>
          <w:rFonts w:ascii="Times New Roman" w:hAnsi="Times New Roman" w:cs="Times New Roman"/>
        </w:rPr>
        <w:t>i</w:t>
      </w:r>
      <w:r w:rsidRPr="00AC6C02">
        <w:rPr>
          <w:rFonts w:ascii="Times New Roman" w:hAnsi="Times New Roman" w:cs="Times New Roman"/>
        </w:rPr>
        <w:t>;</w:t>
      </w:r>
    </w:p>
    <w:p w:rsidR="00903A5F" w:rsidRPr="00AC6C02" w:rsidRDefault="00C14B82" w:rsidP="0080360E">
      <w:pPr>
        <w:spacing w:after="0" w:line="240" w:lineRule="auto"/>
        <w:ind w:left="1440"/>
        <w:jc w:val="both"/>
        <w:rPr>
          <w:rFonts w:ascii="Times New Roman" w:hAnsi="Times New Roman" w:cs="Times New Roman"/>
        </w:rPr>
      </w:pPr>
      <w:r w:rsidRPr="00AC6C02">
        <w:rPr>
          <w:rFonts w:ascii="Times New Roman" w:hAnsi="Times New Roman" w:cs="Times New Roman"/>
        </w:rPr>
        <w:t>b. bala</w:t>
      </w:r>
      <w:r w:rsidR="0080360E" w:rsidRPr="00AC6C02">
        <w:rPr>
          <w:rFonts w:ascii="Times New Roman" w:hAnsi="Times New Roman" w:cs="Times New Roman"/>
        </w:rPr>
        <w:t>nsēšanas enerģijas apmaiņu</w:t>
      </w:r>
      <w:r w:rsidRPr="00AC6C02">
        <w:rPr>
          <w:rFonts w:ascii="Times New Roman" w:hAnsi="Times New Roman" w:cs="Times New Roman"/>
        </w:rPr>
        <w:t xml:space="preserve"> ar ci</w:t>
      </w:r>
      <w:r w:rsidR="0080360E" w:rsidRPr="00AC6C02">
        <w:rPr>
          <w:rFonts w:ascii="Times New Roman" w:hAnsi="Times New Roman" w:cs="Times New Roman"/>
        </w:rPr>
        <w:t>tu</w:t>
      </w:r>
      <w:r w:rsidRPr="00AC6C02">
        <w:rPr>
          <w:rFonts w:ascii="Times New Roman" w:hAnsi="Times New Roman" w:cs="Times New Roman"/>
        </w:rPr>
        <w:t xml:space="preserve"> </w:t>
      </w:r>
      <w:r w:rsidR="0080360E" w:rsidRPr="00AC6C02">
        <w:rPr>
          <w:rFonts w:ascii="Times New Roman" w:hAnsi="Times New Roman" w:cs="Times New Roman"/>
        </w:rPr>
        <w:t xml:space="preserve">PSO </w:t>
      </w:r>
      <w:r w:rsidRPr="00AC6C02">
        <w:rPr>
          <w:rFonts w:ascii="Times New Roman" w:hAnsi="Times New Roman" w:cs="Times New Roman"/>
        </w:rPr>
        <w:t xml:space="preserve">kontroles </w:t>
      </w:r>
      <w:r w:rsidR="0080360E" w:rsidRPr="00AC6C02">
        <w:rPr>
          <w:rFonts w:ascii="Times New Roman" w:hAnsi="Times New Roman" w:cs="Times New Roman"/>
        </w:rPr>
        <w:t>zonām</w:t>
      </w:r>
      <w:r w:rsidRPr="00AC6C02">
        <w:rPr>
          <w:rFonts w:ascii="Times New Roman" w:hAnsi="Times New Roman" w:cs="Times New Roman"/>
        </w:rPr>
        <w:t>, ko izrais</w:t>
      </w:r>
      <w:r w:rsidR="0080360E" w:rsidRPr="00AC6C02">
        <w:rPr>
          <w:rFonts w:ascii="Times New Roman" w:hAnsi="Times New Roman" w:cs="Times New Roman"/>
        </w:rPr>
        <w:t xml:space="preserve">ījušas </w:t>
      </w:r>
      <w:r w:rsidRPr="00AC6C02">
        <w:rPr>
          <w:rFonts w:ascii="Times New Roman" w:hAnsi="Times New Roman" w:cs="Times New Roman"/>
        </w:rPr>
        <w:t xml:space="preserve"> </w:t>
      </w:r>
      <w:proofErr w:type="spellStart"/>
      <w:r w:rsidR="0080360E" w:rsidRPr="00AC6C02">
        <w:rPr>
          <w:rFonts w:ascii="Times New Roman" w:hAnsi="Times New Roman" w:cs="Times New Roman"/>
        </w:rPr>
        <w:t>pārdispečēšanas</w:t>
      </w:r>
      <w:proofErr w:type="spellEnd"/>
      <w:r w:rsidR="0080360E" w:rsidRPr="00AC6C02">
        <w:rPr>
          <w:rFonts w:ascii="Times New Roman" w:hAnsi="Times New Roman" w:cs="Times New Roman"/>
        </w:rPr>
        <w:t xml:space="preserve">/kompensācijas tirdzniecības aktivizācijas </w:t>
      </w:r>
      <w:r w:rsidR="00894D00" w:rsidRPr="00AC6C02">
        <w:rPr>
          <w:rFonts w:ascii="Times New Roman" w:hAnsi="Times New Roman" w:cs="Times New Roman"/>
        </w:rPr>
        <w:t xml:space="preserve">Baltijas CCR tirdzniecības zonu robežām, </w:t>
      </w:r>
      <w:proofErr w:type="spellStart"/>
      <w:r w:rsidR="00894D00" w:rsidRPr="00AC6C02">
        <w:rPr>
          <w:rFonts w:ascii="Times New Roman" w:hAnsi="Times New Roman" w:cs="Times New Roman"/>
        </w:rPr>
        <w:t>starpsavienojumiem</w:t>
      </w:r>
      <w:proofErr w:type="spellEnd"/>
      <w:r w:rsidR="00894D00" w:rsidRPr="00AC6C02">
        <w:rPr>
          <w:rFonts w:ascii="Times New Roman" w:hAnsi="Times New Roman" w:cs="Times New Roman"/>
        </w:rPr>
        <w:t xml:space="preserve"> un kritiskajiem infrastruktūras elementiem </w:t>
      </w:r>
      <w:r w:rsidR="0080360E" w:rsidRPr="00AC6C02">
        <w:rPr>
          <w:rFonts w:ascii="Times New Roman" w:hAnsi="Times New Roman" w:cs="Times New Roman"/>
        </w:rPr>
        <w:t xml:space="preserve"> </w:t>
      </w:r>
      <w:r w:rsidRPr="00AC6C02">
        <w:rPr>
          <w:rFonts w:ascii="Times New Roman" w:hAnsi="Times New Roman" w:cs="Times New Roman"/>
        </w:rPr>
        <w:t>(kā noteikts šīs metodikas 1. pantā).</w:t>
      </w:r>
    </w:p>
    <w:p w:rsidR="00894D00" w:rsidRPr="00AC6C02" w:rsidRDefault="00894D00" w:rsidP="0080360E">
      <w:pPr>
        <w:spacing w:after="0" w:line="240" w:lineRule="auto"/>
        <w:ind w:left="1440"/>
        <w:jc w:val="both"/>
        <w:rPr>
          <w:rFonts w:ascii="Times New Roman" w:hAnsi="Times New Roman" w:cs="Times New Roman"/>
        </w:rPr>
      </w:pPr>
    </w:p>
    <w:p w:rsidR="00903A5F" w:rsidRPr="005E1537" w:rsidRDefault="00903A5F" w:rsidP="00903A5F">
      <w:pPr>
        <w:spacing w:after="0" w:line="240" w:lineRule="auto"/>
        <w:jc w:val="center"/>
        <w:outlineLvl w:val="1"/>
        <w:rPr>
          <w:rFonts w:ascii="Times New Roman" w:hAnsi="Times New Roman" w:cs="Times New Roman"/>
          <w:b/>
        </w:rPr>
      </w:pPr>
      <w:r w:rsidRPr="00AC6C02">
        <w:rPr>
          <w:rFonts w:ascii="Times New Roman" w:eastAsia="Times New Roman" w:hAnsi="Times New Roman" w:cs="Times New Roman"/>
          <w:b/>
          <w:lang w:bidi="lv-LV"/>
        </w:rPr>
        <w:t xml:space="preserve">3. pants </w:t>
      </w:r>
    </w:p>
    <w:p w:rsidR="00894D00" w:rsidRPr="00AC6C02" w:rsidRDefault="00894D00" w:rsidP="00894D00">
      <w:pPr>
        <w:spacing w:after="0" w:line="240" w:lineRule="auto"/>
        <w:jc w:val="center"/>
        <w:outlineLvl w:val="1"/>
        <w:rPr>
          <w:rFonts w:ascii="Times New Roman" w:eastAsia="Times New Roman" w:hAnsi="Times New Roman" w:cs="Times New Roman"/>
          <w:b/>
          <w:lang w:bidi="lv-LV"/>
        </w:rPr>
      </w:pPr>
      <w:r w:rsidRPr="00AC6C02">
        <w:rPr>
          <w:rFonts w:ascii="Times New Roman" w:eastAsia="Times New Roman" w:hAnsi="Times New Roman" w:cs="Times New Roman"/>
          <w:b/>
          <w:lang w:bidi="lv-LV"/>
        </w:rPr>
        <w:t xml:space="preserve">Kopējā metodika koordinētai </w:t>
      </w:r>
      <w:proofErr w:type="spellStart"/>
      <w:r w:rsidRPr="00AC6C02">
        <w:rPr>
          <w:rFonts w:ascii="Times New Roman" w:eastAsia="Times New Roman" w:hAnsi="Times New Roman" w:cs="Times New Roman"/>
          <w:b/>
          <w:lang w:bidi="lv-LV"/>
        </w:rPr>
        <w:t>pārdispečēšanas</w:t>
      </w:r>
      <w:proofErr w:type="spellEnd"/>
      <w:r w:rsidRPr="00AC6C02">
        <w:rPr>
          <w:rFonts w:ascii="Times New Roman" w:eastAsia="Times New Roman" w:hAnsi="Times New Roman" w:cs="Times New Roman"/>
          <w:b/>
          <w:lang w:bidi="lv-LV"/>
        </w:rPr>
        <w:t xml:space="preserve"> un kompensācijas tirdzniecības izmaksu sadalei</w:t>
      </w:r>
    </w:p>
    <w:p w:rsidR="00894D00" w:rsidRPr="00AC6C02" w:rsidRDefault="00894D00" w:rsidP="002D5F19">
      <w:pPr>
        <w:pStyle w:val="Sarakstarindkopa"/>
        <w:spacing w:before="120" w:after="0" w:line="240" w:lineRule="auto"/>
        <w:ind w:left="426"/>
        <w:contextualSpacing w:val="0"/>
        <w:rPr>
          <w:rFonts w:ascii="Times New Roman" w:eastAsia="Times New Roman" w:hAnsi="Times New Roman" w:cs="Times New Roman"/>
          <w:lang w:bidi="lv-LV"/>
        </w:rPr>
      </w:pPr>
      <w:r w:rsidRPr="00AC6C02">
        <w:rPr>
          <w:rFonts w:ascii="Times New Roman" w:eastAsia="Times New Roman" w:hAnsi="Times New Roman" w:cs="Times New Roman"/>
          <w:lang w:bidi="lv-LV"/>
        </w:rPr>
        <w:t xml:space="preserve">1. PSO, kas iekšējos nolūkos veic </w:t>
      </w:r>
      <w:proofErr w:type="spellStart"/>
      <w:r w:rsidR="00CB2240" w:rsidRPr="00AC6C02">
        <w:rPr>
          <w:rFonts w:ascii="Times New Roman" w:eastAsia="Times New Roman" w:hAnsi="Times New Roman" w:cs="Times New Roman"/>
          <w:lang w:bidi="lv-LV"/>
        </w:rPr>
        <w:t>pārdispečēšanu</w:t>
      </w:r>
      <w:proofErr w:type="spellEnd"/>
      <w:r w:rsidRPr="00AC6C02">
        <w:rPr>
          <w:rFonts w:ascii="Times New Roman" w:eastAsia="Times New Roman" w:hAnsi="Times New Roman" w:cs="Times New Roman"/>
          <w:lang w:bidi="lv-LV"/>
        </w:rPr>
        <w:t xml:space="preserve"> savā kontroles zonā, sedz šīs konkrētās </w:t>
      </w:r>
      <w:proofErr w:type="spellStart"/>
      <w:r w:rsidR="00CB2240" w:rsidRPr="00AC6C02">
        <w:rPr>
          <w:rFonts w:ascii="Times New Roman" w:eastAsia="Times New Roman" w:hAnsi="Times New Roman" w:cs="Times New Roman"/>
          <w:lang w:bidi="lv-LV"/>
        </w:rPr>
        <w:t>pārdispečēšanas</w:t>
      </w:r>
      <w:proofErr w:type="spellEnd"/>
      <w:r w:rsidR="00CB2240" w:rsidRPr="00AC6C02">
        <w:rPr>
          <w:rFonts w:ascii="Times New Roman" w:eastAsia="Times New Roman" w:hAnsi="Times New Roman" w:cs="Times New Roman"/>
          <w:lang w:bidi="lv-LV"/>
        </w:rPr>
        <w:t xml:space="preserve"> </w:t>
      </w:r>
      <w:r w:rsidRPr="00AC6C02">
        <w:rPr>
          <w:rFonts w:ascii="Times New Roman" w:eastAsia="Times New Roman" w:hAnsi="Times New Roman" w:cs="Times New Roman"/>
          <w:lang w:bidi="lv-LV"/>
        </w:rPr>
        <w:t>kopējās izmaksas.</w:t>
      </w:r>
    </w:p>
    <w:p w:rsidR="00894D00" w:rsidRPr="00AC6C02" w:rsidRDefault="00894D00" w:rsidP="002D5F19">
      <w:pPr>
        <w:pStyle w:val="Sarakstarindkopa"/>
        <w:spacing w:after="0" w:line="240" w:lineRule="auto"/>
        <w:ind w:left="426"/>
        <w:rPr>
          <w:rFonts w:ascii="Times New Roman" w:eastAsia="Times New Roman" w:hAnsi="Times New Roman" w:cs="Times New Roman"/>
          <w:lang w:bidi="lv-LV"/>
        </w:rPr>
      </w:pPr>
      <w:r w:rsidRPr="00AC6C02">
        <w:rPr>
          <w:rFonts w:ascii="Times New Roman" w:eastAsia="Times New Roman" w:hAnsi="Times New Roman" w:cs="Times New Roman"/>
          <w:lang w:bidi="lv-LV"/>
        </w:rPr>
        <w:t xml:space="preserve">2. </w:t>
      </w:r>
      <w:proofErr w:type="spellStart"/>
      <w:r w:rsidR="00CB2240" w:rsidRPr="00AC6C02">
        <w:rPr>
          <w:rFonts w:ascii="Times New Roman" w:eastAsia="Times New Roman" w:hAnsi="Times New Roman" w:cs="Times New Roman"/>
          <w:lang w:bidi="lv-LV"/>
        </w:rPr>
        <w:t>Pārdispečēšanu</w:t>
      </w:r>
      <w:proofErr w:type="spellEnd"/>
      <w:r w:rsidR="00CB2240" w:rsidRPr="00AC6C02">
        <w:rPr>
          <w:rFonts w:ascii="Times New Roman" w:eastAsia="Times New Roman" w:hAnsi="Times New Roman" w:cs="Times New Roman"/>
          <w:lang w:bidi="lv-LV"/>
        </w:rPr>
        <w:t xml:space="preserve"> un kompensācijas tirdzniecības var izmantot tikai </w:t>
      </w:r>
      <w:r w:rsidRPr="00AC6C02">
        <w:rPr>
          <w:rFonts w:ascii="Times New Roman" w:eastAsia="Times New Roman" w:hAnsi="Times New Roman" w:cs="Times New Roman"/>
          <w:lang w:bidi="lv-LV"/>
        </w:rPr>
        <w:t xml:space="preserve">pēc tam, kad ir </w:t>
      </w:r>
      <w:r w:rsidR="00CB2240" w:rsidRPr="00AC6C02">
        <w:rPr>
          <w:rFonts w:ascii="Times New Roman" w:eastAsia="Times New Roman" w:hAnsi="Times New Roman" w:cs="Times New Roman"/>
          <w:lang w:bidi="lv-LV"/>
        </w:rPr>
        <w:t>izsmeltas iespējas izmantot citas mazāk dārgas</w:t>
      </w:r>
      <w:r w:rsidRPr="00AC6C02">
        <w:rPr>
          <w:rFonts w:ascii="Times New Roman" w:eastAsia="Times New Roman" w:hAnsi="Times New Roman" w:cs="Times New Roman"/>
          <w:lang w:bidi="lv-LV"/>
        </w:rPr>
        <w:t xml:space="preserve"> koriģējoš</w:t>
      </w:r>
      <w:r w:rsidR="00CB2240" w:rsidRPr="00AC6C02">
        <w:rPr>
          <w:rFonts w:ascii="Times New Roman" w:eastAsia="Times New Roman" w:hAnsi="Times New Roman" w:cs="Times New Roman"/>
          <w:lang w:bidi="lv-LV"/>
        </w:rPr>
        <w:t>as</w:t>
      </w:r>
      <w:r w:rsidRPr="00AC6C02">
        <w:rPr>
          <w:rFonts w:ascii="Times New Roman" w:eastAsia="Times New Roman" w:hAnsi="Times New Roman" w:cs="Times New Roman"/>
          <w:lang w:bidi="lv-LV"/>
        </w:rPr>
        <w:t xml:space="preserve"> </w:t>
      </w:r>
      <w:r w:rsidR="00CB2240" w:rsidRPr="00AC6C02">
        <w:rPr>
          <w:rFonts w:ascii="Times New Roman" w:eastAsia="Times New Roman" w:hAnsi="Times New Roman" w:cs="Times New Roman"/>
          <w:lang w:bidi="lv-LV"/>
        </w:rPr>
        <w:t>darbības</w:t>
      </w:r>
      <w:r w:rsidRPr="00AC6C02">
        <w:rPr>
          <w:rFonts w:ascii="Times New Roman" w:eastAsia="Times New Roman" w:hAnsi="Times New Roman" w:cs="Times New Roman"/>
          <w:lang w:bidi="lv-LV"/>
        </w:rPr>
        <w:t>.</w:t>
      </w:r>
    </w:p>
    <w:p w:rsidR="00894D00" w:rsidRPr="00AC6C02" w:rsidRDefault="00894D00" w:rsidP="002D5F19">
      <w:pPr>
        <w:pStyle w:val="Sarakstarindkopa"/>
        <w:spacing w:after="0" w:line="240" w:lineRule="auto"/>
        <w:ind w:left="426"/>
        <w:rPr>
          <w:rFonts w:ascii="Times New Roman" w:eastAsia="Times New Roman" w:hAnsi="Times New Roman" w:cs="Times New Roman"/>
          <w:lang w:bidi="lv-LV"/>
        </w:rPr>
      </w:pPr>
      <w:r w:rsidRPr="00AC6C02">
        <w:rPr>
          <w:rFonts w:ascii="Times New Roman" w:eastAsia="Times New Roman" w:hAnsi="Times New Roman" w:cs="Times New Roman"/>
          <w:lang w:bidi="lv-LV"/>
        </w:rPr>
        <w:t xml:space="preserve">3. </w:t>
      </w:r>
      <w:r w:rsidR="002D5F19" w:rsidRPr="00AC6C02">
        <w:rPr>
          <w:rFonts w:ascii="Times New Roman" w:eastAsia="Times New Roman" w:hAnsi="Times New Roman" w:cs="Times New Roman"/>
          <w:lang w:bidi="lv-LV"/>
        </w:rPr>
        <w:t>Uz robežām ar</w:t>
      </w:r>
      <w:r w:rsidRPr="00AC6C02">
        <w:rPr>
          <w:rFonts w:ascii="Times New Roman" w:eastAsia="Times New Roman" w:hAnsi="Times New Roman" w:cs="Times New Roman"/>
          <w:lang w:bidi="lv-LV"/>
        </w:rPr>
        <w:t xml:space="preserve"> maiņstrāvas </w:t>
      </w:r>
      <w:proofErr w:type="spellStart"/>
      <w:r w:rsidRPr="00AC6C02">
        <w:rPr>
          <w:rFonts w:ascii="Times New Roman" w:eastAsia="Times New Roman" w:hAnsi="Times New Roman" w:cs="Times New Roman"/>
          <w:lang w:bidi="lv-LV"/>
        </w:rPr>
        <w:t>s</w:t>
      </w:r>
      <w:r w:rsidR="002D5F19" w:rsidRPr="00AC6C02">
        <w:rPr>
          <w:rFonts w:ascii="Times New Roman" w:eastAsia="Times New Roman" w:hAnsi="Times New Roman" w:cs="Times New Roman"/>
          <w:lang w:bidi="lv-LV"/>
        </w:rPr>
        <w:t>tarps</w:t>
      </w:r>
      <w:r w:rsidRPr="00AC6C02">
        <w:rPr>
          <w:rFonts w:ascii="Times New Roman" w:eastAsia="Times New Roman" w:hAnsi="Times New Roman" w:cs="Times New Roman"/>
          <w:lang w:bidi="lv-LV"/>
        </w:rPr>
        <w:t>avienojumi</w:t>
      </w:r>
      <w:r w:rsidR="002D5F19" w:rsidRPr="00AC6C02">
        <w:rPr>
          <w:rFonts w:ascii="Times New Roman" w:eastAsia="Times New Roman" w:hAnsi="Times New Roman" w:cs="Times New Roman"/>
          <w:lang w:bidi="lv-LV"/>
        </w:rPr>
        <w:t>em</w:t>
      </w:r>
      <w:proofErr w:type="spellEnd"/>
      <w:r w:rsidRPr="00AC6C02">
        <w:rPr>
          <w:rFonts w:ascii="Times New Roman" w:eastAsia="Times New Roman" w:hAnsi="Times New Roman" w:cs="Times New Roman"/>
          <w:lang w:bidi="lv-LV"/>
        </w:rPr>
        <w:t>:</w:t>
      </w:r>
    </w:p>
    <w:p w:rsidR="00903A5F" w:rsidRPr="00AC6C02" w:rsidRDefault="00894D00" w:rsidP="003D6D0C">
      <w:pPr>
        <w:spacing w:before="60" w:after="0" w:line="240" w:lineRule="auto"/>
        <w:ind w:left="1418"/>
        <w:jc w:val="both"/>
        <w:rPr>
          <w:rFonts w:ascii="Times New Roman" w:hAnsi="Times New Roman" w:cs="Times New Roman"/>
        </w:rPr>
      </w:pPr>
      <w:r w:rsidRPr="00AC6C02">
        <w:rPr>
          <w:rFonts w:ascii="Times New Roman" w:hAnsi="Times New Roman" w:cs="Times New Roman"/>
        </w:rPr>
        <w:t>3.1. Ja</w:t>
      </w:r>
      <w:r w:rsidR="002D5F19" w:rsidRPr="00AC6C02">
        <w:rPr>
          <w:rFonts w:ascii="Times New Roman" w:hAnsi="Times New Roman" w:cs="Times New Roman"/>
        </w:rPr>
        <w:t xml:space="preserve"> gadījums, kas</w:t>
      </w:r>
      <w:r w:rsidRPr="00AC6C02">
        <w:rPr>
          <w:rFonts w:ascii="Times New Roman" w:hAnsi="Times New Roman" w:cs="Times New Roman"/>
        </w:rPr>
        <w:t xml:space="preserve"> fiziskās plūsma</w:t>
      </w:r>
      <w:r w:rsidR="002D5F19" w:rsidRPr="00AC6C02">
        <w:rPr>
          <w:rFonts w:ascii="Times New Roman" w:hAnsi="Times New Roman" w:cs="Times New Roman"/>
        </w:rPr>
        <w:t xml:space="preserve">s pārsniedz kopīgi saskaņoto attiecīgā pārrobežu </w:t>
      </w:r>
      <w:proofErr w:type="spellStart"/>
      <w:r w:rsidR="002D5F19" w:rsidRPr="00AC6C02">
        <w:rPr>
          <w:rFonts w:ascii="Times New Roman" w:hAnsi="Times New Roman" w:cs="Times New Roman"/>
        </w:rPr>
        <w:t>starpsavienojuma</w:t>
      </w:r>
      <w:proofErr w:type="spellEnd"/>
      <w:r w:rsidRPr="00AC6C02">
        <w:rPr>
          <w:rFonts w:ascii="Times New Roman" w:hAnsi="Times New Roman" w:cs="Times New Roman"/>
        </w:rPr>
        <w:t xml:space="preserve"> </w:t>
      </w:r>
      <w:r w:rsidR="002D5F19" w:rsidRPr="00AC6C02">
        <w:rPr>
          <w:rFonts w:ascii="Times New Roman" w:hAnsi="Times New Roman" w:cs="Times New Roman"/>
        </w:rPr>
        <w:t xml:space="preserve">maksimālo šķērsgriezuma caurlaides spējas vērtību </w:t>
      </w:r>
      <w:r w:rsidRPr="00AC6C02">
        <w:rPr>
          <w:rFonts w:ascii="Times New Roman" w:hAnsi="Times New Roman" w:cs="Times New Roman"/>
        </w:rPr>
        <w:t>(t</w:t>
      </w:r>
      <w:r w:rsidR="002D5F19" w:rsidRPr="00AC6C02">
        <w:rPr>
          <w:rFonts w:ascii="Times New Roman" w:hAnsi="Times New Roman" w:cs="Times New Roman"/>
        </w:rPr>
        <w:t>.i.</w:t>
      </w:r>
      <w:r w:rsidRPr="00AC6C02">
        <w:rPr>
          <w:rFonts w:ascii="Times New Roman" w:hAnsi="Times New Roman" w:cs="Times New Roman"/>
        </w:rPr>
        <w:t xml:space="preserve"> fizisk</w:t>
      </w:r>
      <w:r w:rsidR="002D5F19" w:rsidRPr="00AC6C02">
        <w:rPr>
          <w:rFonts w:ascii="Times New Roman" w:hAnsi="Times New Roman" w:cs="Times New Roman"/>
        </w:rPr>
        <w:t>a</w:t>
      </w:r>
      <w:r w:rsidRPr="00AC6C02">
        <w:rPr>
          <w:rFonts w:ascii="Times New Roman" w:hAnsi="Times New Roman" w:cs="Times New Roman"/>
        </w:rPr>
        <w:t xml:space="preserve"> pārslodz</w:t>
      </w:r>
      <w:r w:rsidR="002D5F19" w:rsidRPr="00AC6C02">
        <w:rPr>
          <w:rFonts w:ascii="Times New Roman" w:hAnsi="Times New Roman" w:cs="Times New Roman"/>
        </w:rPr>
        <w:t>e</w:t>
      </w:r>
      <w:r w:rsidRPr="00AC6C02">
        <w:rPr>
          <w:rFonts w:ascii="Times New Roman" w:hAnsi="Times New Roman" w:cs="Times New Roman"/>
        </w:rPr>
        <w:t xml:space="preserve">) rodas </w:t>
      </w:r>
      <w:r w:rsidR="002D5F19" w:rsidRPr="00AC6C02">
        <w:rPr>
          <w:rFonts w:ascii="Times New Roman" w:hAnsi="Times New Roman" w:cs="Times New Roman"/>
        </w:rPr>
        <w:t>tāda</w:t>
      </w:r>
      <w:r w:rsidRPr="00AC6C02">
        <w:rPr>
          <w:rFonts w:ascii="Times New Roman" w:hAnsi="Times New Roman" w:cs="Times New Roman"/>
        </w:rPr>
        <w:t xml:space="preserve"> iemesla dēļ, kas rad</w:t>
      </w:r>
      <w:r w:rsidR="002D5F19" w:rsidRPr="00AC6C02">
        <w:rPr>
          <w:rFonts w:ascii="Times New Roman" w:hAnsi="Times New Roman" w:cs="Times New Roman"/>
        </w:rPr>
        <w:t>ies</w:t>
      </w:r>
      <w:r w:rsidRPr="00AC6C02">
        <w:rPr>
          <w:rFonts w:ascii="Times New Roman" w:hAnsi="Times New Roman" w:cs="Times New Roman"/>
        </w:rPr>
        <w:t xml:space="preserve"> ārpus attiecīg</w:t>
      </w:r>
      <w:r w:rsidR="002D5F19" w:rsidRPr="00AC6C02">
        <w:rPr>
          <w:rFonts w:ascii="Times New Roman" w:hAnsi="Times New Roman" w:cs="Times New Roman"/>
        </w:rPr>
        <w:t>o</w:t>
      </w:r>
      <w:r w:rsidRPr="00AC6C02">
        <w:rPr>
          <w:rFonts w:ascii="Times New Roman" w:hAnsi="Times New Roman" w:cs="Times New Roman"/>
        </w:rPr>
        <w:t xml:space="preserve"> PSO kontroles</w:t>
      </w:r>
      <w:r w:rsidR="002D5F19" w:rsidRPr="00AC6C02">
        <w:rPr>
          <w:rFonts w:ascii="Times New Roman" w:hAnsi="Times New Roman" w:cs="Times New Roman"/>
        </w:rPr>
        <w:t xml:space="preserve"> zonām vai kādu citu nezināmu iemeslu dēļ, kopējās </w:t>
      </w:r>
      <w:proofErr w:type="spellStart"/>
      <w:r w:rsidR="002D5F19" w:rsidRPr="00AC6C02">
        <w:rPr>
          <w:rFonts w:ascii="Times New Roman" w:hAnsi="Times New Roman" w:cs="Times New Roman"/>
        </w:rPr>
        <w:t>pārdispečēšanas</w:t>
      </w:r>
      <w:proofErr w:type="spellEnd"/>
      <w:r w:rsidRPr="00AC6C02">
        <w:rPr>
          <w:rFonts w:ascii="Times New Roman" w:hAnsi="Times New Roman" w:cs="Times New Roman"/>
        </w:rPr>
        <w:t xml:space="preserve"> izmaksas </w:t>
      </w:r>
      <w:r w:rsidR="002D5F19" w:rsidRPr="00AC6C02">
        <w:rPr>
          <w:rFonts w:ascii="Times New Roman" w:hAnsi="Times New Roman" w:cs="Times New Roman"/>
        </w:rPr>
        <w:t>tiek</w:t>
      </w:r>
      <w:r w:rsidRPr="00AC6C02">
        <w:rPr>
          <w:rFonts w:ascii="Times New Roman" w:hAnsi="Times New Roman" w:cs="Times New Roman"/>
        </w:rPr>
        <w:t xml:space="preserve"> sadalīt</w:t>
      </w:r>
      <w:r w:rsidR="002D5F19" w:rsidRPr="00AC6C02">
        <w:rPr>
          <w:rFonts w:ascii="Times New Roman" w:hAnsi="Times New Roman" w:cs="Times New Roman"/>
        </w:rPr>
        <w:t>as</w:t>
      </w:r>
      <w:r w:rsidRPr="00AC6C02">
        <w:rPr>
          <w:rFonts w:ascii="Times New Roman" w:hAnsi="Times New Roman" w:cs="Times New Roman"/>
        </w:rPr>
        <w:t xml:space="preserve"> vienādi starp attiecīgajiem PSO;</w:t>
      </w:r>
    </w:p>
    <w:p w:rsidR="002D5F19" w:rsidRPr="00AC6C02" w:rsidRDefault="002D5F19" w:rsidP="003D6D0C">
      <w:pPr>
        <w:spacing w:before="60" w:after="0" w:line="240" w:lineRule="auto"/>
        <w:ind w:left="1418"/>
        <w:jc w:val="both"/>
        <w:rPr>
          <w:rFonts w:ascii="Times New Roman" w:hAnsi="Times New Roman" w:cs="Times New Roman"/>
        </w:rPr>
      </w:pPr>
      <w:r w:rsidRPr="00AC6C02">
        <w:rPr>
          <w:rFonts w:ascii="Times New Roman" w:hAnsi="Times New Roman" w:cs="Times New Roman"/>
        </w:rPr>
        <w:t xml:space="preserve">3.2. Ja gadījums, kas fiziskās plūsmas pārsniedz kopīgi saskaņoto attiecīgā pārrobežu </w:t>
      </w:r>
      <w:proofErr w:type="spellStart"/>
      <w:r w:rsidRPr="00AC6C02">
        <w:rPr>
          <w:rFonts w:ascii="Times New Roman" w:hAnsi="Times New Roman" w:cs="Times New Roman"/>
        </w:rPr>
        <w:t>starpsavienojuma</w:t>
      </w:r>
      <w:proofErr w:type="spellEnd"/>
      <w:r w:rsidRPr="00AC6C02">
        <w:rPr>
          <w:rFonts w:ascii="Times New Roman" w:hAnsi="Times New Roman" w:cs="Times New Roman"/>
        </w:rPr>
        <w:t xml:space="preserve"> maksimālo šķērsgriezuma caurlaides spējas vērtību (t.i. fiziska pārslodze) rodas</w:t>
      </w:r>
      <w:r w:rsidR="0089620D" w:rsidRPr="00AC6C02">
        <w:rPr>
          <w:rFonts w:ascii="Times New Roman" w:hAnsi="Times New Roman" w:cs="Times New Roman"/>
        </w:rPr>
        <w:t>, ir rad</w:t>
      </w:r>
      <w:r w:rsidRPr="00AC6C02">
        <w:rPr>
          <w:rFonts w:ascii="Times New Roman" w:hAnsi="Times New Roman" w:cs="Times New Roman"/>
        </w:rPr>
        <w:t xml:space="preserve">ies </w:t>
      </w:r>
      <w:r w:rsidR="0089620D" w:rsidRPr="00AC6C02">
        <w:rPr>
          <w:rFonts w:ascii="Times New Roman" w:hAnsi="Times New Roman" w:cs="Times New Roman"/>
        </w:rPr>
        <w:t xml:space="preserve">dēļ attiecīgā PSO kontroles zonā esoša </w:t>
      </w:r>
      <w:r w:rsidRPr="00AC6C02">
        <w:rPr>
          <w:rFonts w:ascii="Times New Roman" w:hAnsi="Times New Roman" w:cs="Times New Roman"/>
        </w:rPr>
        <w:t>maiņstrāvas tīkla elementa</w:t>
      </w:r>
      <w:r w:rsidR="0089620D" w:rsidRPr="00AC6C02">
        <w:rPr>
          <w:rFonts w:ascii="Times New Roman" w:hAnsi="Times New Roman" w:cs="Times New Roman"/>
        </w:rPr>
        <w:t xml:space="preserve"> </w:t>
      </w:r>
      <w:proofErr w:type="spellStart"/>
      <w:r w:rsidR="0089620D" w:rsidRPr="00AC6C02">
        <w:rPr>
          <w:rFonts w:ascii="Times New Roman" w:hAnsi="Times New Roman" w:cs="Times New Roman"/>
        </w:rPr>
        <w:t>atslēguma</w:t>
      </w:r>
      <w:proofErr w:type="spellEnd"/>
      <w:r w:rsidRPr="00AC6C02">
        <w:rPr>
          <w:rFonts w:ascii="Times New Roman" w:hAnsi="Times New Roman" w:cs="Times New Roman"/>
        </w:rPr>
        <w:t xml:space="preserve"> vai </w:t>
      </w:r>
      <w:r w:rsidR="0089620D" w:rsidRPr="00AC6C02">
        <w:rPr>
          <w:rFonts w:ascii="Times New Roman" w:hAnsi="Times New Roman" w:cs="Times New Roman"/>
        </w:rPr>
        <w:t xml:space="preserve">kādu citu attiecīgā PSO kontroles zonā esoša maiņstrāvas tīklā  nezināmu </w:t>
      </w:r>
      <w:r w:rsidRPr="00AC6C02">
        <w:rPr>
          <w:rFonts w:ascii="Times New Roman" w:hAnsi="Times New Roman" w:cs="Times New Roman"/>
        </w:rPr>
        <w:t xml:space="preserve"> iemeslu dēļ, kas notika viena attiecīgā PSO kontroles zonas maiņstrāvas tīkls, tad kopējās </w:t>
      </w:r>
      <w:proofErr w:type="spellStart"/>
      <w:r w:rsidR="003D6D0C" w:rsidRPr="00AC6C02">
        <w:rPr>
          <w:rFonts w:ascii="Times New Roman" w:hAnsi="Times New Roman" w:cs="Times New Roman"/>
        </w:rPr>
        <w:t>pārdispečēšanas</w:t>
      </w:r>
      <w:proofErr w:type="spellEnd"/>
      <w:r w:rsidR="003D6D0C" w:rsidRPr="00AC6C02">
        <w:rPr>
          <w:rFonts w:ascii="Times New Roman" w:hAnsi="Times New Roman" w:cs="Times New Roman"/>
        </w:rPr>
        <w:t xml:space="preserve"> izmaksas sedz attiecīgais PSO, kura kontroles zonā notika</w:t>
      </w:r>
      <w:r w:rsidRPr="00AC6C02">
        <w:rPr>
          <w:rFonts w:ascii="Times New Roman" w:hAnsi="Times New Roman" w:cs="Times New Roman"/>
        </w:rPr>
        <w:t xml:space="preserve"> </w:t>
      </w:r>
      <w:r w:rsidR="003D6D0C" w:rsidRPr="00AC6C02">
        <w:rPr>
          <w:rFonts w:ascii="Times New Roman" w:hAnsi="Times New Roman" w:cs="Times New Roman"/>
        </w:rPr>
        <w:t>attiecīgais notikums</w:t>
      </w:r>
      <w:r w:rsidRPr="00AC6C02">
        <w:rPr>
          <w:rFonts w:ascii="Times New Roman" w:hAnsi="Times New Roman" w:cs="Times New Roman"/>
        </w:rPr>
        <w:t>.</w:t>
      </w:r>
    </w:p>
    <w:p w:rsidR="003D6D0C" w:rsidRPr="00AC6C02" w:rsidRDefault="003D6D0C" w:rsidP="003D6D0C">
      <w:pPr>
        <w:pStyle w:val="Sarakstarindkopa"/>
        <w:spacing w:after="0" w:line="240" w:lineRule="auto"/>
        <w:ind w:left="426"/>
        <w:rPr>
          <w:rFonts w:ascii="Times New Roman" w:eastAsia="Times New Roman" w:hAnsi="Times New Roman" w:cs="Times New Roman"/>
          <w:lang w:bidi="lv-LV"/>
        </w:rPr>
      </w:pPr>
      <w:r w:rsidRPr="00AC6C02">
        <w:rPr>
          <w:rFonts w:ascii="Times New Roman" w:eastAsia="Times New Roman" w:hAnsi="Times New Roman" w:cs="Times New Roman"/>
          <w:lang w:bidi="lv-LV"/>
        </w:rPr>
        <w:t xml:space="preserve">4. Uz robežām ar HVDC </w:t>
      </w:r>
      <w:proofErr w:type="spellStart"/>
      <w:r w:rsidRPr="00AC6C02">
        <w:rPr>
          <w:rFonts w:ascii="Times New Roman" w:eastAsia="Times New Roman" w:hAnsi="Times New Roman" w:cs="Times New Roman"/>
          <w:lang w:bidi="lv-LV"/>
        </w:rPr>
        <w:t>starpsavienojumiem</w:t>
      </w:r>
      <w:proofErr w:type="spellEnd"/>
      <w:r w:rsidRPr="00AC6C02">
        <w:rPr>
          <w:rFonts w:ascii="Times New Roman" w:eastAsia="Times New Roman" w:hAnsi="Times New Roman" w:cs="Times New Roman"/>
          <w:lang w:bidi="lv-LV"/>
        </w:rPr>
        <w:t>:</w:t>
      </w:r>
    </w:p>
    <w:p w:rsidR="003D6D0C" w:rsidRPr="00AC6C02" w:rsidRDefault="003D6D0C" w:rsidP="003D6D0C">
      <w:pPr>
        <w:spacing w:before="60" w:after="0" w:line="240" w:lineRule="auto"/>
        <w:ind w:left="1418"/>
        <w:jc w:val="both"/>
        <w:rPr>
          <w:rFonts w:ascii="Times New Roman" w:hAnsi="Times New Roman" w:cs="Times New Roman"/>
        </w:rPr>
      </w:pPr>
      <w:r w:rsidRPr="00AC6C02">
        <w:rPr>
          <w:rFonts w:ascii="Times New Roman" w:hAnsi="Times New Roman" w:cs="Times New Roman"/>
        </w:rPr>
        <w:tab/>
        <w:t xml:space="preserve">4.1. </w:t>
      </w:r>
      <w:proofErr w:type="spellStart"/>
      <w:r w:rsidRPr="00AC6C02">
        <w:rPr>
          <w:rFonts w:ascii="Times New Roman" w:hAnsi="Times New Roman" w:cs="Times New Roman"/>
        </w:rPr>
        <w:t>Pārdispečēšanas</w:t>
      </w:r>
      <w:proofErr w:type="spellEnd"/>
      <w:r w:rsidRPr="00AC6C02">
        <w:rPr>
          <w:rFonts w:ascii="Times New Roman" w:hAnsi="Times New Roman" w:cs="Times New Roman"/>
        </w:rPr>
        <w:t xml:space="preserve"> un/vai kompensācijas tirdzniecības kopējās izmaksas ir sadalītas vienādi starp attiecīgajiem PSO šādos gadījumos:</w:t>
      </w:r>
    </w:p>
    <w:p w:rsidR="003D6D0C" w:rsidRPr="00AC6C02" w:rsidRDefault="003D6D0C" w:rsidP="003D6D0C">
      <w:pPr>
        <w:spacing w:before="60" w:after="0" w:line="240" w:lineRule="auto"/>
        <w:ind w:left="1418"/>
        <w:jc w:val="both"/>
        <w:rPr>
          <w:rFonts w:ascii="Times New Roman" w:hAnsi="Times New Roman" w:cs="Times New Roman"/>
        </w:rPr>
      </w:pPr>
      <w:r w:rsidRPr="00AC6C02">
        <w:rPr>
          <w:rFonts w:ascii="Times New Roman" w:hAnsi="Times New Roman" w:cs="Times New Roman"/>
        </w:rPr>
        <w:tab/>
      </w:r>
      <w:r w:rsidRPr="00AC6C02">
        <w:rPr>
          <w:rFonts w:ascii="Times New Roman" w:hAnsi="Times New Roman" w:cs="Times New Roman"/>
        </w:rPr>
        <w:tab/>
        <w:t xml:space="preserve">4.1.1. </w:t>
      </w:r>
      <w:proofErr w:type="spellStart"/>
      <w:r w:rsidRPr="00AC6C02">
        <w:rPr>
          <w:rFonts w:ascii="Times New Roman" w:hAnsi="Times New Roman" w:cs="Times New Roman"/>
        </w:rPr>
        <w:t>Pārdispečēšana</w:t>
      </w:r>
      <w:proofErr w:type="spellEnd"/>
      <w:r w:rsidRPr="00AC6C02">
        <w:rPr>
          <w:rFonts w:ascii="Times New Roman" w:hAnsi="Times New Roman" w:cs="Times New Roman"/>
        </w:rPr>
        <w:t xml:space="preserve"> un/vai kompensācijas tirdzniecība veikta HVDC </w:t>
      </w:r>
      <w:proofErr w:type="spellStart"/>
      <w:r w:rsidRPr="00AC6C02">
        <w:rPr>
          <w:rFonts w:ascii="Times New Roman" w:hAnsi="Times New Roman" w:cs="Times New Roman"/>
        </w:rPr>
        <w:t>starpsavienojuma</w:t>
      </w:r>
      <w:proofErr w:type="spellEnd"/>
      <w:r w:rsidR="00FE75EE" w:rsidRPr="00AC6C02">
        <w:rPr>
          <w:rFonts w:ascii="Times New Roman" w:hAnsi="Times New Roman" w:cs="Times New Roman"/>
        </w:rPr>
        <w:t xml:space="preserve"> starp attiecīgo PSO</w:t>
      </w:r>
      <w:r w:rsidRPr="00AC6C02">
        <w:rPr>
          <w:rFonts w:ascii="Times New Roman" w:hAnsi="Times New Roman" w:cs="Times New Roman"/>
        </w:rPr>
        <w:t xml:space="preserve"> </w:t>
      </w:r>
      <w:r w:rsidR="00FE75EE" w:rsidRPr="00AC6C02">
        <w:rPr>
          <w:rFonts w:ascii="Times New Roman" w:hAnsi="Times New Roman" w:cs="Times New Roman"/>
        </w:rPr>
        <w:t>kontroles zonām bojājuma</w:t>
      </w:r>
      <w:r w:rsidRPr="00AC6C02">
        <w:rPr>
          <w:rFonts w:ascii="Times New Roman" w:hAnsi="Times New Roman" w:cs="Times New Roman"/>
        </w:rPr>
        <w:t>, atteices vai neparedzēta</w:t>
      </w:r>
      <w:r w:rsidR="00FE75EE" w:rsidRPr="00AC6C02">
        <w:rPr>
          <w:rFonts w:ascii="Times New Roman" w:hAnsi="Times New Roman" w:cs="Times New Roman"/>
        </w:rPr>
        <w:t xml:space="preserve"> atvienojum</w:t>
      </w:r>
      <w:r w:rsidRPr="00AC6C02">
        <w:rPr>
          <w:rFonts w:ascii="Times New Roman" w:hAnsi="Times New Roman" w:cs="Times New Roman"/>
        </w:rPr>
        <w:t xml:space="preserve">a dēļ, izņemot gadījumus, kas minēti 4.2. </w:t>
      </w:r>
      <w:r w:rsidR="00FE75EE" w:rsidRPr="00AC6C02">
        <w:rPr>
          <w:rFonts w:ascii="Times New Roman" w:hAnsi="Times New Roman" w:cs="Times New Roman"/>
        </w:rPr>
        <w:t>p</w:t>
      </w:r>
      <w:r w:rsidRPr="00AC6C02">
        <w:rPr>
          <w:rFonts w:ascii="Times New Roman" w:hAnsi="Times New Roman" w:cs="Times New Roman"/>
        </w:rPr>
        <w:t>unktā;</w:t>
      </w:r>
    </w:p>
    <w:p w:rsidR="003D6D0C" w:rsidRPr="00AC6C02" w:rsidRDefault="003D6D0C" w:rsidP="00FE75EE">
      <w:pPr>
        <w:spacing w:before="60" w:after="0" w:line="240" w:lineRule="auto"/>
        <w:ind w:left="1418" w:firstLine="850"/>
        <w:jc w:val="both"/>
        <w:rPr>
          <w:rFonts w:ascii="Times New Roman" w:hAnsi="Times New Roman" w:cs="Times New Roman"/>
        </w:rPr>
      </w:pPr>
      <w:r w:rsidRPr="00AC6C02">
        <w:rPr>
          <w:rFonts w:ascii="Times New Roman" w:hAnsi="Times New Roman" w:cs="Times New Roman"/>
        </w:rPr>
        <w:lastRenderedPageBreak/>
        <w:t xml:space="preserve">4.1.2. </w:t>
      </w:r>
      <w:proofErr w:type="spellStart"/>
      <w:r w:rsidR="00FE75EE" w:rsidRPr="00AC6C02">
        <w:rPr>
          <w:rFonts w:ascii="Times New Roman" w:hAnsi="Times New Roman" w:cs="Times New Roman"/>
        </w:rPr>
        <w:t>Pārdispečēšana</w:t>
      </w:r>
      <w:proofErr w:type="spellEnd"/>
      <w:r w:rsidR="00FE75EE" w:rsidRPr="00AC6C02">
        <w:rPr>
          <w:rFonts w:ascii="Times New Roman" w:hAnsi="Times New Roman" w:cs="Times New Roman"/>
        </w:rPr>
        <w:t xml:space="preserve"> un/vai kompensācijas tirdzniecība veikta</w:t>
      </w:r>
      <w:r w:rsidRPr="00AC6C02">
        <w:rPr>
          <w:rFonts w:ascii="Times New Roman" w:hAnsi="Times New Roman" w:cs="Times New Roman"/>
        </w:rPr>
        <w:t xml:space="preserve">, lai pārvaldītu HVDC </w:t>
      </w:r>
      <w:proofErr w:type="spellStart"/>
      <w:r w:rsidRPr="00AC6C02">
        <w:rPr>
          <w:rFonts w:ascii="Times New Roman" w:hAnsi="Times New Roman" w:cs="Times New Roman"/>
        </w:rPr>
        <w:t>starpsavienojum</w:t>
      </w:r>
      <w:r w:rsidR="00FE75EE" w:rsidRPr="00AC6C02">
        <w:rPr>
          <w:rFonts w:ascii="Times New Roman" w:hAnsi="Times New Roman" w:cs="Times New Roman"/>
        </w:rPr>
        <w:t>a</w:t>
      </w:r>
      <w:proofErr w:type="spellEnd"/>
      <w:r w:rsidRPr="00AC6C02">
        <w:rPr>
          <w:rFonts w:ascii="Times New Roman" w:hAnsi="Times New Roman" w:cs="Times New Roman"/>
        </w:rPr>
        <w:t xml:space="preserve"> tehniskos ierobežojumus, t.i., lai saglabātu minimālo tehnisko robežu HVDC </w:t>
      </w:r>
      <w:proofErr w:type="spellStart"/>
      <w:r w:rsidRPr="00AC6C02">
        <w:rPr>
          <w:rFonts w:ascii="Times New Roman" w:hAnsi="Times New Roman" w:cs="Times New Roman"/>
        </w:rPr>
        <w:t>sta</w:t>
      </w:r>
      <w:r w:rsidR="00FE75EE" w:rsidRPr="00AC6C02">
        <w:rPr>
          <w:rFonts w:ascii="Times New Roman" w:hAnsi="Times New Roman" w:cs="Times New Roman"/>
        </w:rPr>
        <w:t>rpsavienojuma</w:t>
      </w:r>
      <w:proofErr w:type="spellEnd"/>
      <w:r w:rsidR="00FE75EE" w:rsidRPr="00AC6C02">
        <w:rPr>
          <w:rFonts w:ascii="Times New Roman" w:hAnsi="Times New Roman" w:cs="Times New Roman"/>
        </w:rPr>
        <w:t xml:space="preserve"> stabilai darbībai.</w:t>
      </w:r>
    </w:p>
    <w:p w:rsidR="00FE75EE" w:rsidRPr="00AC6C02" w:rsidRDefault="00FE75EE" w:rsidP="00FE75EE">
      <w:pPr>
        <w:spacing w:before="120" w:after="0" w:line="240" w:lineRule="auto"/>
        <w:ind w:left="1418"/>
        <w:jc w:val="both"/>
        <w:rPr>
          <w:rFonts w:ascii="Times New Roman" w:hAnsi="Times New Roman" w:cs="Times New Roman"/>
        </w:rPr>
      </w:pPr>
      <w:r w:rsidRPr="00AC6C02">
        <w:rPr>
          <w:rFonts w:ascii="Times New Roman" w:hAnsi="Times New Roman" w:cs="Times New Roman"/>
        </w:rPr>
        <w:tab/>
        <w:t xml:space="preserve">4.2. Ja </w:t>
      </w:r>
      <w:bookmarkStart w:id="2" w:name="_Hlk10648778"/>
      <w:proofErr w:type="spellStart"/>
      <w:r w:rsidRPr="00AC6C02">
        <w:rPr>
          <w:rFonts w:ascii="Times New Roman" w:hAnsi="Times New Roman" w:cs="Times New Roman"/>
        </w:rPr>
        <w:t>pārdispečēšana</w:t>
      </w:r>
      <w:proofErr w:type="spellEnd"/>
      <w:r w:rsidRPr="00AC6C02">
        <w:rPr>
          <w:rFonts w:ascii="Times New Roman" w:hAnsi="Times New Roman" w:cs="Times New Roman"/>
        </w:rPr>
        <w:t xml:space="preserve"> un/vai kompensācijas tirdzniecība </w:t>
      </w:r>
      <w:bookmarkEnd w:id="2"/>
      <w:r w:rsidRPr="00AC6C02">
        <w:rPr>
          <w:rFonts w:ascii="Times New Roman" w:hAnsi="Times New Roman" w:cs="Times New Roman"/>
        </w:rPr>
        <w:t xml:space="preserve">veikta sakarā ar HVDC </w:t>
      </w:r>
      <w:proofErr w:type="spellStart"/>
      <w:r w:rsidRPr="00AC6C02">
        <w:rPr>
          <w:rFonts w:ascii="Times New Roman" w:hAnsi="Times New Roman" w:cs="Times New Roman"/>
        </w:rPr>
        <w:t>starpsavienojuma</w:t>
      </w:r>
      <w:proofErr w:type="spellEnd"/>
      <w:r w:rsidRPr="00AC6C02">
        <w:rPr>
          <w:rFonts w:ascii="Times New Roman" w:hAnsi="Times New Roman" w:cs="Times New Roman"/>
        </w:rPr>
        <w:t xml:space="preserve"> starp attiecīgo PSO kontroles zonām bojājuma, atteices vai neparedzēta atvienojuma dēļ un attiecīgajiem PSO ir </w:t>
      </w:r>
      <w:proofErr w:type="spellStart"/>
      <w:r w:rsidRPr="00AC6C02">
        <w:rPr>
          <w:rFonts w:ascii="Times New Roman" w:hAnsi="Times New Roman" w:cs="Times New Roman"/>
        </w:rPr>
        <w:t>dalītasi</w:t>
      </w:r>
      <w:proofErr w:type="spellEnd"/>
      <w:r w:rsidRPr="00AC6C02">
        <w:rPr>
          <w:rFonts w:ascii="Times New Roman" w:hAnsi="Times New Roman" w:cs="Times New Roman"/>
        </w:rPr>
        <w:t xml:space="preserve"> aktīvu īpašumtiesības uz HVDC </w:t>
      </w:r>
      <w:proofErr w:type="spellStart"/>
      <w:r w:rsidRPr="00AC6C02">
        <w:rPr>
          <w:rFonts w:ascii="Times New Roman" w:hAnsi="Times New Roman" w:cs="Times New Roman"/>
        </w:rPr>
        <w:t>starpsavienojumu</w:t>
      </w:r>
      <w:proofErr w:type="spellEnd"/>
      <w:r w:rsidRPr="00AC6C02">
        <w:rPr>
          <w:rFonts w:ascii="Times New Roman" w:hAnsi="Times New Roman" w:cs="Times New Roman"/>
        </w:rPr>
        <w:t xml:space="preserve">, tad kopējās </w:t>
      </w:r>
      <w:proofErr w:type="spellStart"/>
      <w:r w:rsidRPr="00AC6C02">
        <w:rPr>
          <w:rFonts w:ascii="Times New Roman" w:hAnsi="Times New Roman" w:cs="Times New Roman"/>
        </w:rPr>
        <w:t>pārdispečēšanas</w:t>
      </w:r>
      <w:proofErr w:type="spellEnd"/>
      <w:r w:rsidRPr="00AC6C02">
        <w:rPr>
          <w:rFonts w:ascii="Times New Roman" w:hAnsi="Times New Roman" w:cs="Times New Roman"/>
        </w:rPr>
        <w:t xml:space="preserve"> un/vai kompensācijas tirdzniecības izmaksas ir jāsadala saskaņā ar aktīvu īpašumtiesību sadalījumu HVDC </w:t>
      </w:r>
      <w:proofErr w:type="spellStart"/>
      <w:r w:rsidRPr="00AC6C02">
        <w:rPr>
          <w:rFonts w:ascii="Times New Roman" w:hAnsi="Times New Roman" w:cs="Times New Roman"/>
        </w:rPr>
        <w:t>starpsavienojumam</w:t>
      </w:r>
      <w:proofErr w:type="spellEnd"/>
      <w:r w:rsidRPr="00AC6C02">
        <w:rPr>
          <w:rFonts w:ascii="Times New Roman" w:hAnsi="Times New Roman" w:cs="Times New Roman"/>
        </w:rPr>
        <w:t xml:space="preserve">, kas nozīmē, ka katrs attiecīgais PSO sedz izmaksas, kas rodas no neparedzētiem gadījumiem tā HVDC </w:t>
      </w:r>
      <w:proofErr w:type="spellStart"/>
      <w:r w:rsidRPr="00AC6C02">
        <w:rPr>
          <w:rFonts w:ascii="Times New Roman" w:hAnsi="Times New Roman" w:cs="Times New Roman"/>
        </w:rPr>
        <w:t>starpsavienojuma</w:t>
      </w:r>
      <w:proofErr w:type="spellEnd"/>
      <w:r w:rsidRPr="00AC6C02">
        <w:rPr>
          <w:rFonts w:ascii="Times New Roman" w:hAnsi="Times New Roman" w:cs="Times New Roman"/>
        </w:rPr>
        <w:t xml:space="preserve"> daļā.</w:t>
      </w:r>
    </w:p>
    <w:p w:rsidR="00FE75EE" w:rsidRPr="00AC6C02" w:rsidRDefault="00FE75EE" w:rsidP="00FE75EE">
      <w:pPr>
        <w:spacing w:before="120" w:after="0" w:line="240" w:lineRule="auto"/>
        <w:ind w:left="1418"/>
        <w:jc w:val="both"/>
        <w:rPr>
          <w:rFonts w:ascii="Times New Roman" w:hAnsi="Times New Roman" w:cs="Times New Roman"/>
        </w:rPr>
      </w:pPr>
      <w:r w:rsidRPr="00AC6C02">
        <w:rPr>
          <w:rFonts w:ascii="Times New Roman" w:hAnsi="Times New Roman" w:cs="Times New Roman"/>
        </w:rPr>
        <w:t xml:space="preserve">4.3. Ja gadījums, kad jaudas plūsma pārsniedz kopīgi saskaņoto HVDC </w:t>
      </w:r>
      <w:proofErr w:type="spellStart"/>
      <w:r w:rsidRPr="00AC6C02">
        <w:rPr>
          <w:rFonts w:ascii="Times New Roman" w:hAnsi="Times New Roman" w:cs="Times New Roman"/>
        </w:rPr>
        <w:t>starpsavienojuma</w:t>
      </w:r>
      <w:proofErr w:type="spellEnd"/>
      <w:r w:rsidRPr="00AC6C02">
        <w:rPr>
          <w:rFonts w:ascii="Times New Roman" w:hAnsi="Times New Roman" w:cs="Times New Roman"/>
        </w:rPr>
        <w:t xml:space="preserve"> kopējo jaudas vērtību, ir radies maiņstrāvas tīkla, kas atrodas attiecīgā PSO kontroles zonā, elementa </w:t>
      </w:r>
      <w:proofErr w:type="spellStart"/>
      <w:r w:rsidRPr="00AC6C02">
        <w:rPr>
          <w:rFonts w:ascii="Times New Roman" w:hAnsi="Times New Roman" w:cs="Times New Roman"/>
        </w:rPr>
        <w:t>atslēguma</w:t>
      </w:r>
      <w:proofErr w:type="spellEnd"/>
      <w:r w:rsidRPr="00AC6C02">
        <w:rPr>
          <w:rFonts w:ascii="Times New Roman" w:hAnsi="Times New Roman" w:cs="Times New Roman"/>
        </w:rPr>
        <w:t xml:space="preserve"> rezultātā vai ar citu nezināmu iemeslu dēļ, kas notika attiecīgā PSO kontroles zonas esošā maiņstrāvas </w:t>
      </w:r>
      <w:r w:rsidR="00C10F70" w:rsidRPr="00AC6C02">
        <w:rPr>
          <w:rFonts w:ascii="Times New Roman" w:hAnsi="Times New Roman" w:cs="Times New Roman"/>
        </w:rPr>
        <w:t>tīklā</w:t>
      </w:r>
      <w:r w:rsidRPr="00AC6C02">
        <w:rPr>
          <w:rFonts w:ascii="Times New Roman" w:hAnsi="Times New Roman" w:cs="Times New Roman"/>
        </w:rPr>
        <w:t xml:space="preserve">, </w:t>
      </w:r>
      <w:r w:rsidR="00C10F70" w:rsidRPr="00AC6C02">
        <w:rPr>
          <w:rFonts w:ascii="Times New Roman" w:hAnsi="Times New Roman" w:cs="Times New Roman"/>
        </w:rPr>
        <w:t xml:space="preserve">kopējās </w:t>
      </w:r>
      <w:proofErr w:type="spellStart"/>
      <w:r w:rsidR="00C10F70" w:rsidRPr="00AC6C02">
        <w:rPr>
          <w:rFonts w:ascii="Times New Roman" w:hAnsi="Times New Roman" w:cs="Times New Roman"/>
        </w:rPr>
        <w:t>pārdispečēšanas</w:t>
      </w:r>
      <w:proofErr w:type="spellEnd"/>
      <w:r w:rsidR="00C10F70" w:rsidRPr="00AC6C02">
        <w:rPr>
          <w:rFonts w:ascii="Times New Roman" w:hAnsi="Times New Roman" w:cs="Times New Roman"/>
        </w:rPr>
        <w:t xml:space="preserve"> un/vai kompensācijas tirdzniecības izmaksas </w:t>
      </w:r>
      <w:r w:rsidRPr="00AC6C02">
        <w:rPr>
          <w:rFonts w:ascii="Times New Roman" w:hAnsi="Times New Roman" w:cs="Times New Roman"/>
        </w:rPr>
        <w:t>sedz tas PSO, kur</w:t>
      </w:r>
      <w:r w:rsidR="00C10F70" w:rsidRPr="00AC6C02">
        <w:rPr>
          <w:rFonts w:ascii="Times New Roman" w:hAnsi="Times New Roman" w:cs="Times New Roman"/>
        </w:rPr>
        <w:t>a kontroles zonā</w:t>
      </w:r>
      <w:r w:rsidRPr="00AC6C02">
        <w:rPr>
          <w:rFonts w:ascii="Times New Roman" w:hAnsi="Times New Roman" w:cs="Times New Roman"/>
        </w:rPr>
        <w:t xml:space="preserve"> notika </w:t>
      </w:r>
      <w:r w:rsidR="00C10F70" w:rsidRPr="00AC6C02">
        <w:rPr>
          <w:rFonts w:ascii="Times New Roman" w:hAnsi="Times New Roman" w:cs="Times New Roman"/>
        </w:rPr>
        <w:t>šis notikums</w:t>
      </w:r>
      <w:r w:rsidRPr="00AC6C02">
        <w:rPr>
          <w:rFonts w:ascii="Times New Roman" w:hAnsi="Times New Roman" w:cs="Times New Roman"/>
        </w:rPr>
        <w:t>.</w:t>
      </w:r>
    </w:p>
    <w:p w:rsidR="003D6D0C" w:rsidRPr="00AC6C02" w:rsidRDefault="003D6D0C" w:rsidP="00C10F70">
      <w:pPr>
        <w:pStyle w:val="Sarakstarindkopa"/>
        <w:spacing w:after="0" w:line="240" w:lineRule="auto"/>
        <w:ind w:left="426"/>
        <w:rPr>
          <w:rFonts w:ascii="Times New Roman" w:eastAsia="Times New Roman" w:hAnsi="Times New Roman" w:cs="Times New Roman"/>
          <w:lang w:bidi="lv-LV"/>
        </w:rPr>
      </w:pPr>
    </w:p>
    <w:p w:rsidR="002D5F19" w:rsidRPr="00AC6C02" w:rsidRDefault="00C10F70" w:rsidP="00C10F70">
      <w:pPr>
        <w:pStyle w:val="Sarakstarindkopa"/>
        <w:spacing w:after="0" w:line="240" w:lineRule="auto"/>
        <w:ind w:left="426"/>
        <w:jc w:val="both"/>
        <w:rPr>
          <w:rFonts w:ascii="Times New Roman" w:eastAsia="Times New Roman" w:hAnsi="Times New Roman" w:cs="Times New Roman"/>
          <w:lang w:bidi="lv-LV"/>
        </w:rPr>
      </w:pPr>
      <w:r w:rsidRPr="00AC6C02">
        <w:rPr>
          <w:rFonts w:ascii="Times New Roman" w:eastAsia="Times New Roman" w:hAnsi="Times New Roman" w:cs="Times New Roman"/>
          <w:lang w:bidi="lv-LV"/>
        </w:rPr>
        <w:t>5. Ja PSO vienpusēji (vai bez koordinācijas) nolemj veikt dārgas korektīvos pasākumus ar pārrobežu nozīmi, PSO sedz visas izmaksas, kas saistītas ar nesaskaņotu koriģējoša pasākuma veikšanu.</w:t>
      </w:r>
    </w:p>
    <w:p w:rsidR="00C10F70" w:rsidRPr="00AC6C02" w:rsidRDefault="00C10F70" w:rsidP="00C10F70">
      <w:pPr>
        <w:pStyle w:val="Sarakstarindkopa"/>
        <w:spacing w:before="120" w:after="0" w:line="240" w:lineRule="auto"/>
        <w:ind w:left="425"/>
        <w:contextualSpacing w:val="0"/>
        <w:jc w:val="both"/>
        <w:rPr>
          <w:rFonts w:ascii="Times New Roman" w:eastAsia="Times New Roman" w:hAnsi="Times New Roman" w:cs="Times New Roman"/>
          <w:lang w:bidi="lv-LV"/>
        </w:rPr>
      </w:pPr>
      <w:r w:rsidRPr="00AC6C02">
        <w:rPr>
          <w:rFonts w:ascii="Times New Roman" w:eastAsia="Times New Roman" w:hAnsi="Times New Roman" w:cs="Times New Roman"/>
          <w:lang w:bidi="lv-LV"/>
        </w:rPr>
        <w:t>6. Korektīvo pasākumu aktivizēšana tiek veikta pēc tam, kad ir novērtēta koriģējošo pasākumu ietekme, pamatojoties uz izmaksām, efektivitāti un darbības drošību. Korektīvie pasākumi ar viszemākajām izmaksām, ņemot vērā to efektivitāti, aktivizējami, ņemot vērā darbības drošības kritērijus.</w:t>
      </w:r>
    </w:p>
    <w:p w:rsidR="00C10F70" w:rsidRPr="00AC6C02" w:rsidRDefault="00C10F70" w:rsidP="00C10F70">
      <w:pPr>
        <w:pStyle w:val="Sarakstarindkopa"/>
        <w:spacing w:before="120" w:after="0" w:line="240" w:lineRule="auto"/>
        <w:ind w:left="425"/>
        <w:contextualSpacing w:val="0"/>
        <w:jc w:val="both"/>
        <w:rPr>
          <w:rFonts w:ascii="Times New Roman" w:eastAsia="Times New Roman" w:hAnsi="Times New Roman" w:cs="Times New Roman"/>
          <w:lang w:bidi="lv-LV"/>
        </w:rPr>
      </w:pPr>
      <w:r w:rsidRPr="00AC6C02">
        <w:rPr>
          <w:rFonts w:ascii="Times New Roman" w:eastAsia="Times New Roman" w:hAnsi="Times New Roman" w:cs="Times New Roman"/>
          <w:lang w:bidi="lv-LV"/>
        </w:rPr>
        <w:t xml:space="preserve">7. Uzraudzības nolūkos PSO vāc datus par </w:t>
      </w:r>
      <w:proofErr w:type="spellStart"/>
      <w:r w:rsidRPr="00AC6C02">
        <w:rPr>
          <w:rFonts w:ascii="Times New Roman" w:eastAsia="Times New Roman" w:hAnsi="Times New Roman" w:cs="Times New Roman"/>
          <w:lang w:bidi="lv-LV"/>
        </w:rPr>
        <w:t>pārdispečēšanu</w:t>
      </w:r>
      <w:proofErr w:type="spellEnd"/>
      <w:r w:rsidRPr="00AC6C02">
        <w:rPr>
          <w:rFonts w:ascii="Times New Roman" w:eastAsia="Times New Roman" w:hAnsi="Times New Roman" w:cs="Times New Roman"/>
          <w:lang w:bidi="lv-LV"/>
        </w:rPr>
        <w:t xml:space="preserve"> un kompensācijas tirdzniecību. Katrs PSO publicē ar </w:t>
      </w:r>
      <w:proofErr w:type="spellStart"/>
      <w:r w:rsidRPr="00AC6C02">
        <w:rPr>
          <w:rFonts w:ascii="Times New Roman" w:eastAsia="Times New Roman" w:hAnsi="Times New Roman" w:cs="Times New Roman"/>
          <w:lang w:bidi="lv-LV"/>
        </w:rPr>
        <w:t>pārdispečēšanu</w:t>
      </w:r>
      <w:proofErr w:type="spellEnd"/>
      <w:r w:rsidRPr="00AC6C02">
        <w:rPr>
          <w:rFonts w:ascii="Times New Roman" w:eastAsia="Times New Roman" w:hAnsi="Times New Roman" w:cs="Times New Roman"/>
          <w:lang w:bidi="lv-LV"/>
        </w:rPr>
        <w:t xml:space="preserve"> un kompensācijas tirdzniecību saistīto informāciju par ENTSO-E </w:t>
      </w:r>
      <w:proofErr w:type="spellStart"/>
      <w:r w:rsidRPr="00AC6C02">
        <w:rPr>
          <w:rFonts w:ascii="Times New Roman" w:eastAsia="Times New Roman" w:hAnsi="Times New Roman" w:cs="Times New Roman"/>
          <w:lang w:bidi="lv-LV"/>
        </w:rPr>
        <w:t>pārredzamības</w:t>
      </w:r>
      <w:proofErr w:type="spellEnd"/>
      <w:r w:rsidRPr="00AC6C02">
        <w:rPr>
          <w:rFonts w:ascii="Times New Roman" w:eastAsia="Times New Roman" w:hAnsi="Times New Roman" w:cs="Times New Roman"/>
          <w:lang w:bidi="lv-LV"/>
        </w:rPr>
        <w:t xml:space="preserve"> platformā saskaņā ar Komisijas 2013. gada 14. jūnija Regulas (ES) Nr. 543/2013 par datu iesniegšanu un publicēšanu elektroenerģijas tirgos,</w:t>
      </w:r>
      <w:r w:rsidRPr="00AC6C02">
        <w:t xml:space="preserve"> </w:t>
      </w:r>
      <w:r w:rsidRPr="00AC6C02">
        <w:rPr>
          <w:rFonts w:ascii="Times New Roman" w:eastAsia="Times New Roman" w:hAnsi="Times New Roman" w:cs="Times New Roman"/>
          <w:lang w:bidi="lv-LV"/>
        </w:rPr>
        <w:t>13. pantu .</w:t>
      </w:r>
    </w:p>
    <w:p w:rsidR="00C10F70" w:rsidRPr="00AC6C02" w:rsidRDefault="00C10F70" w:rsidP="00C10F70">
      <w:pPr>
        <w:pStyle w:val="Sarakstarindkopa"/>
        <w:spacing w:before="120" w:after="0" w:line="240" w:lineRule="auto"/>
        <w:ind w:left="425"/>
        <w:contextualSpacing w:val="0"/>
        <w:jc w:val="both"/>
        <w:rPr>
          <w:rFonts w:ascii="Times New Roman" w:eastAsia="Times New Roman" w:hAnsi="Times New Roman" w:cs="Times New Roman"/>
          <w:lang w:bidi="lv-LV"/>
        </w:rPr>
      </w:pPr>
      <w:r w:rsidRPr="00AC6C02">
        <w:rPr>
          <w:rFonts w:ascii="Times New Roman" w:eastAsia="Times New Roman" w:hAnsi="Times New Roman" w:cs="Times New Roman"/>
          <w:lang w:bidi="lv-LV"/>
        </w:rPr>
        <w:t>8. Kompetentās regulatīvās iestādes var pārraudzīt</w:t>
      </w:r>
      <w:r w:rsidRPr="00AC6C02">
        <w:t xml:space="preserve"> </w:t>
      </w:r>
      <w:proofErr w:type="spellStart"/>
      <w:r w:rsidRPr="00AC6C02">
        <w:rPr>
          <w:rFonts w:ascii="Times New Roman" w:eastAsia="Times New Roman" w:hAnsi="Times New Roman" w:cs="Times New Roman"/>
          <w:lang w:bidi="lv-LV"/>
        </w:rPr>
        <w:t>pārdispečēšanas</w:t>
      </w:r>
      <w:proofErr w:type="spellEnd"/>
      <w:r w:rsidRPr="00AC6C02">
        <w:rPr>
          <w:rFonts w:ascii="Times New Roman" w:eastAsia="Times New Roman" w:hAnsi="Times New Roman" w:cs="Times New Roman"/>
          <w:lang w:bidi="lv-LV"/>
        </w:rPr>
        <w:t xml:space="preserve"> un kompensācijas tirdzniecības izmaksu sadali, izmantojot datus no ENTSO-E </w:t>
      </w:r>
      <w:proofErr w:type="spellStart"/>
      <w:r w:rsidRPr="00AC6C02">
        <w:rPr>
          <w:rFonts w:ascii="Times New Roman" w:eastAsia="Times New Roman" w:hAnsi="Times New Roman" w:cs="Times New Roman"/>
          <w:lang w:bidi="lv-LV"/>
        </w:rPr>
        <w:t>pārredzamības</w:t>
      </w:r>
      <w:proofErr w:type="spellEnd"/>
      <w:r w:rsidRPr="00AC6C02">
        <w:rPr>
          <w:rFonts w:ascii="Times New Roman" w:eastAsia="Times New Roman" w:hAnsi="Times New Roman" w:cs="Times New Roman"/>
          <w:lang w:bidi="lv-LV"/>
        </w:rPr>
        <w:t xml:space="preserve"> platformā un Baltijas CCR TSO pieprasot informāciju, kas saistīta ar </w:t>
      </w:r>
      <w:proofErr w:type="spellStart"/>
      <w:r w:rsidRPr="00AC6C02">
        <w:rPr>
          <w:rFonts w:ascii="Times New Roman" w:eastAsia="Times New Roman" w:hAnsi="Times New Roman" w:cs="Times New Roman"/>
          <w:lang w:bidi="lv-LV"/>
        </w:rPr>
        <w:t>pārdispečēšanas</w:t>
      </w:r>
      <w:proofErr w:type="spellEnd"/>
      <w:r w:rsidRPr="00AC6C02">
        <w:rPr>
          <w:rFonts w:ascii="Times New Roman" w:eastAsia="Times New Roman" w:hAnsi="Times New Roman" w:cs="Times New Roman"/>
          <w:lang w:bidi="lv-LV"/>
        </w:rPr>
        <w:t xml:space="preserve"> un kompensācijas tirdzniecības izmaksu sadali.</w:t>
      </w:r>
    </w:p>
    <w:p w:rsidR="00903A5F" w:rsidRPr="005E1537" w:rsidRDefault="009E59D6" w:rsidP="0020172A">
      <w:pPr>
        <w:spacing w:before="240" w:after="0" w:line="240" w:lineRule="auto"/>
        <w:jc w:val="center"/>
        <w:outlineLvl w:val="1"/>
        <w:rPr>
          <w:rFonts w:ascii="Times New Roman" w:hAnsi="Times New Roman" w:cs="Times New Roman"/>
          <w:b/>
        </w:rPr>
      </w:pPr>
      <w:r w:rsidRPr="00AC6C02">
        <w:rPr>
          <w:rFonts w:ascii="Times New Roman" w:eastAsia="Times New Roman" w:hAnsi="Times New Roman" w:cs="Times New Roman"/>
          <w:b/>
          <w:lang w:bidi="lv-LV"/>
        </w:rPr>
        <w:t>4</w:t>
      </w:r>
      <w:r w:rsidR="00903A5F" w:rsidRPr="00AC6C02">
        <w:rPr>
          <w:rFonts w:ascii="Times New Roman" w:eastAsia="Times New Roman" w:hAnsi="Times New Roman" w:cs="Times New Roman"/>
          <w:b/>
          <w:lang w:bidi="lv-LV"/>
        </w:rPr>
        <w:t>. pants</w:t>
      </w:r>
      <w:r w:rsidR="00903A5F" w:rsidRPr="00AC6C02">
        <w:rPr>
          <w:rFonts w:ascii="Times New Roman" w:eastAsia="Times New Roman" w:hAnsi="Times New Roman" w:cs="Times New Roman"/>
          <w:b/>
          <w:lang w:bidi="lv-LV"/>
        </w:rPr>
        <w:br/>
      </w:r>
      <w:r w:rsidRPr="00AC6C02">
        <w:rPr>
          <w:rFonts w:ascii="Times New Roman" w:eastAsia="Times New Roman" w:hAnsi="Times New Roman" w:cs="Times New Roman"/>
          <w:b/>
          <w:lang w:bidi="lv-LV"/>
        </w:rPr>
        <w:t>CRCCS metodikas ieviešana</w:t>
      </w:r>
    </w:p>
    <w:p w:rsidR="00987428" w:rsidRPr="00AC6C02" w:rsidRDefault="00987428" w:rsidP="0020172A">
      <w:pPr>
        <w:spacing w:before="240" w:after="0" w:line="240" w:lineRule="auto"/>
        <w:jc w:val="both"/>
        <w:rPr>
          <w:rFonts w:ascii="Times New Roman" w:eastAsia="Times New Roman" w:hAnsi="Times New Roman" w:cs="Times New Roman"/>
          <w:szCs w:val="24"/>
          <w:lang w:bidi="lv-LV"/>
        </w:rPr>
      </w:pPr>
      <w:r w:rsidRPr="00AC6C02">
        <w:rPr>
          <w:rFonts w:ascii="Times New Roman" w:eastAsia="Times New Roman" w:hAnsi="Times New Roman" w:cs="Times New Roman"/>
          <w:szCs w:val="24"/>
          <w:lang w:bidi="lv-LV"/>
        </w:rPr>
        <w:t xml:space="preserve">PSO šo CRCCS metodiku īsteno bez nepamatotas kavēšanās, kad ir izpildīti visi šādi noteikumi: </w:t>
      </w:r>
    </w:p>
    <w:p w:rsidR="00987428" w:rsidRPr="00AC6C02" w:rsidRDefault="00987428" w:rsidP="0020172A">
      <w:pPr>
        <w:spacing w:beforeLines="60" w:before="144" w:after="0" w:line="240" w:lineRule="auto"/>
        <w:ind w:left="1418"/>
        <w:jc w:val="both"/>
        <w:rPr>
          <w:rFonts w:ascii="Times New Roman" w:eastAsia="Times New Roman" w:hAnsi="Times New Roman" w:cs="Times New Roman"/>
          <w:szCs w:val="24"/>
          <w:lang w:bidi="lv-LV"/>
        </w:rPr>
      </w:pPr>
      <w:r w:rsidRPr="00AC6C02">
        <w:rPr>
          <w:rFonts w:ascii="Times New Roman" w:eastAsia="Times New Roman" w:hAnsi="Times New Roman" w:cs="Times New Roman"/>
          <w:szCs w:val="24"/>
          <w:lang w:bidi="lv-LV"/>
        </w:rPr>
        <w:t>a) CRCCS metodiku ir apstiprinājušas Baltijas CCR NRA vai saskaņā ar CACM regulas 9. panta 11. punktu un 9. panta 12. punktu Enerģētikas regulatoru sadarbības aģentūra;</w:t>
      </w:r>
    </w:p>
    <w:p w:rsidR="00987428" w:rsidRPr="00AC6C02" w:rsidRDefault="00987428" w:rsidP="0020172A">
      <w:pPr>
        <w:spacing w:beforeLines="60" w:before="144" w:after="0" w:line="240" w:lineRule="auto"/>
        <w:ind w:left="1418"/>
        <w:jc w:val="both"/>
        <w:rPr>
          <w:rFonts w:ascii="Times New Roman" w:eastAsia="Times New Roman" w:hAnsi="Times New Roman" w:cs="Times New Roman"/>
          <w:szCs w:val="24"/>
          <w:lang w:bidi="lv-LV"/>
        </w:rPr>
      </w:pPr>
      <w:r w:rsidRPr="00AC6C02">
        <w:rPr>
          <w:rFonts w:ascii="Times New Roman" w:eastAsia="Times New Roman" w:hAnsi="Times New Roman" w:cs="Times New Roman"/>
          <w:szCs w:val="24"/>
          <w:lang w:bidi="lv-LV"/>
        </w:rPr>
        <w:t xml:space="preserve">b) ir ieviesta Baltijas CCR koordinētās </w:t>
      </w:r>
      <w:proofErr w:type="spellStart"/>
      <w:r w:rsidRPr="00AC6C02">
        <w:rPr>
          <w:rFonts w:ascii="Times New Roman" w:eastAsia="Times New Roman" w:hAnsi="Times New Roman" w:cs="Times New Roman"/>
          <w:szCs w:val="24"/>
          <w:lang w:bidi="lv-LV"/>
        </w:rPr>
        <w:t>pārdispečēšanas</w:t>
      </w:r>
      <w:proofErr w:type="spellEnd"/>
      <w:r w:rsidRPr="00AC6C02">
        <w:rPr>
          <w:rFonts w:ascii="Times New Roman" w:eastAsia="Times New Roman" w:hAnsi="Times New Roman" w:cs="Times New Roman"/>
          <w:szCs w:val="24"/>
          <w:lang w:bidi="lv-LV"/>
        </w:rPr>
        <w:t xml:space="preserve"> un kompensācijas tirdzniecības metodika saskaņā ar CACM regulas 35. pantu;</w:t>
      </w:r>
    </w:p>
    <w:p w:rsidR="00903A5F" w:rsidRPr="005E1537" w:rsidRDefault="00987428" w:rsidP="0020172A">
      <w:pPr>
        <w:spacing w:beforeLines="60" w:before="144" w:after="0" w:line="240" w:lineRule="auto"/>
        <w:ind w:left="1418"/>
        <w:jc w:val="both"/>
        <w:rPr>
          <w:rFonts w:ascii="Times New Roman" w:eastAsia="Times New Roman" w:hAnsi="Times New Roman" w:cs="Times New Roman"/>
          <w:szCs w:val="24"/>
          <w:lang w:eastAsia="de-DE"/>
        </w:rPr>
      </w:pPr>
      <w:r w:rsidRPr="00AC6C02">
        <w:rPr>
          <w:rFonts w:ascii="Times New Roman" w:eastAsia="Times New Roman" w:hAnsi="Times New Roman" w:cs="Times New Roman"/>
          <w:szCs w:val="24"/>
          <w:lang w:bidi="lv-LV"/>
        </w:rPr>
        <w:t>c) ir saņemts Baltijas valstu NRA apstiprinājums dokumenta, kas nosaka noteikumus un metodiku attiecībā uz Baltijas valstu un trešo valstu pārrobežu jaudas aprēķināšanu, nodrošināšanu un piešķiršanu trešajām valstīm (Igaunija-Krievija, Latvija-Krievija, Lietuva-Baltkrievija, Lietuva-Krievija (Kaļiņingradas apgabals)), piemērošanai.</w:t>
      </w:r>
    </w:p>
    <w:p w:rsidR="00903A5F" w:rsidRPr="005E1537" w:rsidRDefault="00903A5F" w:rsidP="00903A5F">
      <w:pPr>
        <w:spacing w:after="0" w:line="240" w:lineRule="auto"/>
        <w:jc w:val="both"/>
        <w:rPr>
          <w:rFonts w:ascii="Times New Roman" w:hAnsi="Times New Roman" w:cs="Times New Roman"/>
        </w:rPr>
      </w:pPr>
    </w:p>
    <w:p w:rsidR="00903A5F" w:rsidRPr="00AC6C02" w:rsidRDefault="0020172A" w:rsidP="00903A5F">
      <w:pPr>
        <w:spacing w:after="0" w:line="240" w:lineRule="auto"/>
        <w:jc w:val="center"/>
        <w:outlineLvl w:val="1"/>
        <w:rPr>
          <w:rFonts w:ascii="Times New Roman" w:hAnsi="Times New Roman" w:cs="Times New Roman"/>
          <w:b/>
          <w:lang w:val="en-GB"/>
        </w:rPr>
      </w:pPr>
      <w:r w:rsidRPr="00AC6C02">
        <w:rPr>
          <w:rFonts w:ascii="Times New Roman" w:eastAsia="Times New Roman" w:hAnsi="Times New Roman" w:cs="Times New Roman"/>
          <w:b/>
          <w:lang w:bidi="lv-LV"/>
        </w:rPr>
        <w:t>5</w:t>
      </w:r>
      <w:r w:rsidR="00903A5F" w:rsidRPr="00AC6C02">
        <w:rPr>
          <w:rFonts w:ascii="Times New Roman" w:eastAsia="Times New Roman" w:hAnsi="Times New Roman" w:cs="Times New Roman"/>
          <w:b/>
          <w:lang w:bidi="lv-LV"/>
        </w:rPr>
        <w:t>. pants</w:t>
      </w:r>
      <w:r w:rsidR="00903A5F" w:rsidRPr="00AC6C02">
        <w:rPr>
          <w:rFonts w:ascii="Times New Roman" w:eastAsia="Times New Roman" w:hAnsi="Times New Roman" w:cs="Times New Roman"/>
          <w:b/>
          <w:lang w:bidi="lv-LV"/>
        </w:rPr>
        <w:br/>
        <w:t>Valoda</w:t>
      </w:r>
    </w:p>
    <w:p w:rsidR="005766AC" w:rsidRPr="00AC6C02" w:rsidRDefault="00903A5F" w:rsidP="0020172A">
      <w:pPr>
        <w:spacing w:after="0" w:line="240" w:lineRule="auto"/>
        <w:jc w:val="both"/>
        <w:rPr>
          <w:rFonts w:ascii="Times New Roman" w:hAnsi="Times New Roman" w:cs="Times New Roman"/>
        </w:rPr>
      </w:pPr>
      <w:r w:rsidRPr="00AC6C02">
        <w:rPr>
          <w:rFonts w:ascii="Times New Roman" w:eastAsia="Times New Roman" w:hAnsi="Times New Roman" w:cs="Times New Roman"/>
          <w:lang w:bidi="lv-LV"/>
        </w:rPr>
        <w:t>Šī</w:t>
      </w:r>
      <w:r w:rsidR="0020172A" w:rsidRPr="00AC6C02">
        <w:rPr>
          <w:rFonts w:ascii="Times New Roman" w:eastAsia="Times New Roman" w:hAnsi="Times New Roman" w:cs="Times New Roman"/>
          <w:lang w:bidi="lv-LV"/>
        </w:rPr>
        <w:t>s</w:t>
      </w:r>
      <w:r w:rsidRPr="00AC6C02">
        <w:rPr>
          <w:rFonts w:ascii="Times New Roman" w:eastAsia="Times New Roman" w:hAnsi="Times New Roman" w:cs="Times New Roman"/>
          <w:lang w:bidi="lv-LV"/>
        </w:rPr>
        <w:t xml:space="preserve"> </w:t>
      </w:r>
      <w:r w:rsidR="0020172A" w:rsidRPr="00AC6C02">
        <w:rPr>
          <w:rFonts w:ascii="Times New Roman" w:eastAsia="Times New Roman" w:hAnsi="Times New Roman" w:cs="Times New Roman"/>
          <w:lang w:bidi="lv-LV"/>
        </w:rPr>
        <w:t xml:space="preserve">CRCCS metodikas </w:t>
      </w:r>
      <w:r w:rsidRPr="00AC6C02">
        <w:rPr>
          <w:rFonts w:ascii="Times New Roman" w:eastAsia="Times New Roman" w:hAnsi="Times New Roman" w:cs="Times New Roman"/>
          <w:lang w:bidi="lv-LV"/>
        </w:rPr>
        <w:t xml:space="preserve">atsauces valoda ir angļu valoda. Lai nepieļautu šaubas, ja PSO ir nepieciešamība pārtulkot šo </w:t>
      </w:r>
      <w:r w:rsidR="0020172A" w:rsidRPr="00AC6C02">
        <w:rPr>
          <w:rFonts w:ascii="Times New Roman" w:eastAsia="Times New Roman" w:hAnsi="Times New Roman" w:cs="Times New Roman"/>
          <w:lang w:bidi="lv-LV"/>
        </w:rPr>
        <w:t>CRCSS metodiku</w:t>
      </w:r>
      <w:r w:rsidRPr="00AC6C02">
        <w:rPr>
          <w:rFonts w:ascii="Times New Roman" w:eastAsia="Times New Roman" w:hAnsi="Times New Roman" w:cs="Times New Roman"/>
          <w:lang w:bidi="lv-LV"/>
        </w:rPr>
        <w:t xml:space="preserve"> valsts valodā(-s), ja pastāv pretrunas starp priekšlikuma angļ</w:t>
      </w:r>
      <w:r w:rsidR="0020172A" w:rsidRPr="00AC6C02">
        <w:rPr>
          <w:rFonts w:ascii="Times New Roman" w:eastAsia="Times New Roman" w:hAnsi="Times New Roman" w:cs="Times New Roman"/>
          <w:lang w:bidi="lv-LV"/>
        </w:rPr>
        <w:t>u valodas versiju, ko Baltijas CCR</w:t>
      </w:r>
      <w:r w:rsidRPr="00AC6C02">
        <w:rPr>
          <w:rFonts w:ascii="Times New Roman" w:eastAsia="Times New Roman" w:hAnsi="Times New Roman" w:cs="Times New Roman"/>
          <w:lang w:bidi="lv-LV"/>
        </w:rPr>
        <w:t xml:space="preserve"> PSO ir publicējuši saskaņā ar </w:t>
      </w:r>
      <w:r w:rsidR="0020172A" w:rsidRPr="00AC6C02">
        <w:rPr>
          <w:rFonts w:ascii="Times New Roman" w:eastAsia="Times New Roman" w:hAnsi="Times New Roman" w:cs="Times New Roman"/>
          <w:i/>
          <w:lang w:bidi="lv-LV"/>
        </w:rPr>
        <w:t>CACM</w:t>
      </w:r>
      <w:r w:rsidRPr="00AC6C02">
        <w:rPr>
          <w:rFonts w:ascii="Times New Roman" w:eastAsia="Times New Roman" w:hAnsi="Times New Roman" w:cs="Times New Roman"/>
          <w:lang w:bidi="lv-LV"/>
        </w:rPr>
        <w:t xml:space="preserve"> Regulas </w:t>
      </w:r>
      <w:r w:rsidR="0020172A" w:rsidRPr="00AC6C02">
        <w:rPr>
          <w:rFonts w:ascii="Times New Roman" w:eastAsia="Times New Roman" w:hAnsi="Times New Roman" w:cs="Times New Roman"/>
          <w:lang w:bidi="lv-LV"/>
        </w:rPr>
        <w:t>9</w:t>
      </w:r>
      <w:r w:rsidRPr="00AC6C02">
        <w:rPr>
          <w:rFonts w:ascii="Times New Roman" w:eastAsia="Times New Roman" w:hAnsi="Times New Roman" w:cs="Times New Roman"/>
          <w:lang w:bidi="lv-LV"/>
        </w:rPr>
        <w:t>. panta 1</w:t>
      </w:r>
      <w:r w:rsidR="0020172A" w:rsidRPr="00AC6C02">
        <w:rPr>
          <w:rFonts w:ascii="Times New Roman" w:eastAsia="Times New Roman" w:hAnsi="Times New Roman" w:cs="Times New Roman"/>
          <w:lang w:bidi="lv-LV"/>
        </w:rPr>
        <w:t>4</w:t>
      </w:r>
      <w:r w:rsidRPr="00AC6C02">
        <w:rPr>
          <w:rFonts w:ascii="Times New Roman" w:eastAsia="Times New Roman" w:hAnsi="Times New Roman" w:cs="Times New Roman"/>
          <w:lang w:bidi="lv-LV"/>
        </w:rPr>
        <w:t>. punktu, un jebkuru versiju citā valodā, attiecīgie PSO saskaņā ar valsts tiesī</w:t>
      </w:r>
      <w:r w:rsidR="0020172A" w:rsidRPr="00AC6C02">
        <w:rPr>
          <w:rFonts w:ascii="Times New Roman" w:eastAsia="Times New Roman" w:hAnsi="Times New Roman" w:cs="Times New Roman"/>
          <w:lang w:bidi="lv-LV"/>
        </w:rPr>
        <w:t>bu aktiem iesniedz attiecīgajai regulatīvajai iestādei</w:t>
      </w:r>
      <w:r w:rsidRPr="00AC6C02">
        <w:rPr>
          <w:rFonts w:ascii="Times New Roman" w:eastAsia="Times New Roman" w:hAnsi="Times New Roman" w:cs="Times New Roman"/>
          <w:lang w:bidi="lv-LV"/>
        </w:rPr>
        <w:t xml:space="preserve"> atjauninātu </w:t>
      </w:r>
      <w:r w:rsidR="0020172A" w:rsidRPr="00AC6C02">
        <w:rPr>
          <w:rFonts w:ascii="Times New Roman" w:eastAsia="Times New Roman" w:hAnsi="Times New Roman" w:cs="Times New Roman"/>
          <w:lang w:bidi="lv-LV"/>
        </w:rPr>
        <w:t>CRCCS metodikas</w:t>
      </w:r>
      <w:r w:rsidRPr="00AC6C02">
        <w:rPr>
          <w:rFonts w:ascii="Times New Roman" w:eastAsia="Times New Roman" w:hAnsi="Times New Roman" w:cs="Times New Roman"/>
          <w:lang w:bidi="lv-LV"/>
        </w:rPr>
        <w:t xml:space="preserve"> tulkojumu.</w:t>
      </w:r>
    </w:p>
    <w:sectPr w:rsidR="005766AC" w:rsidRPr="00AC6C02" w:rsidSect="00DE240C">
      <w:footerReference w:type="default" r:id="rId7"/>
      <w:pgSz w:w="11906" w:h="16838"/>
      <w:pgMar w:top="1134" w:right="1418" w:bottom="1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73A" w:rsidRDefault="0052473A" w:rsidP="00903A5F">
      <w:pPr>
        <w:spacing w:after="0" w:line="240" w:lineRule="auto"/>
      </w:pPr>
      <w:r>
        <w:separator/>
      </w:r>
    </w:p>
  </w:endnote>
  <w:endnote w:type="continuationSeparator" w:id="0">
    <w:p w:rsidR="0052473A" w:rsidRDefault="0052473A" w:rsidP="0090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220932"/>
      <w:docPartObj>
        <w:docPartGallery w:val="Page Numbers (Bottom of Page)"/>
        <w:docPartUnique/>
      </w:docPartObj>
    </w:sdtPr>
    <w:sdtEndPr/>
    <w:sdtContent>
      <w:p w:rsidR="00553A98" w:rsidRDefault="006817E9">
        <w:pPr>
          <w:pStyle w:val="Kjene"/>
          <w:jc w:val="right"/>
        </w:pPr>
        <w:r>
          <w:rPr>
            <w:lang w:bidi="lv-LV"/>
          </w:rPr>
          <w:fldChar w:fldCharType="begin"/>
        </w:r>
        <w:r>
          <w:rPr>
            <w:lang w:bidi="lv-LV"/>
          </w:rPr>
          <w:instrText>PAGE   \* MERGEFORMAT</w:instrText>
        </w:r>
        <w:r>
          <w:rPr>
            <w:lang w:bidi="lv-LV"/>
          </w:rPr>
          <w:fldChar w:fldCharType="separate"/>
        </w:r>
        <w:r>
          <w:rPr>
            <w:noProof/>
            <w:lang w:bidi="lv-LV"/>
          </w:rPr>
          <w:t>6</w:t>
        </w:r>
        <w:r>
          <w:rPr>
            <w:lang w:bidi="lv-LV"/>
          </w:rPr>
          <w:fldChar w:fldCharType="end"/>
        </w:r>
      </w:p>
    </w:sdtContent>
  </w:sdt>
  <w:p w:rsidR="00553A98" w:rsidRDefault="005247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73A" w:rsidRDefault="0052473A" w:rsidP="00903A5F">
      <w:pPr>
        <w:spacing w:after="0" w:line="240" w:lineRule="auto"/>
      </w:pPr>
      <w:r>
        <w:separator/>
      </w:r>
    </w:p>
  </w:footnote>
  <w:footnote w:type="continuationSeparator" w:id="0">
    <w:p w:rsidR="0052473A" w:rsidRDefault="0052473A" w:rsidP="00903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6317"/>
    <w:multiLevelType w:val="hybridMultilevel"/>
    <w:tmpl w:val="DFA8E9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02A6098"/>
    <w:multiLevelType w:val="hybridMultilevel"/>
    <w:tmpl w:val="3AAE839C"/>
    <w:lvl w:ilvl="0" w:tplc="CB481F1E">
      <w:start w:val="1"/>
      <w:numFmt w:val="decimal"/>
      <w:lvlText w:val="(%1)"/>
      <w:lvlJc w:val="left"/>
      <w:pPr>
        <w:ind w:left="1068" w:hanging="360"/>
      </w:pPr>
      <w:rPr>
        <w:rFonts w:hint="default"/>
        <w:b w:val="0"/>
      </w:rPr>
    </w:lvl>
    <w:lvl w:ilvl="1" w:tplc="6DEEA86A">
      <w:start w:val="1"/>
      <w:numFmt w:val="lowerLetter"/>
      <w:lvlText w:val="%2."/>
      <w:lvlJc w:val="left"/>
      <w:pPr>
        <w:ind w:left="1788" w:hanging="360"/>
      </w:pPr>
      <w:rPr>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58A70EC"/>
    <w:multiLevelType w:val="hybridMultilevel"/>
    <w:tmpl w:val="C9C64C0E"/>
    <w:lvl w:ilvl="0" w:tplc="699CDD1C">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5AA5532"/>
    <w:multiLevelType w:val="hybridMultilevel"/>
    <w:tmpl w:val="384ABEFC"/>
    <w:lvl w:ilvl="0" w:tplc="8A8A5E8A">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D75714E"/>
    <w:multiLevelType w:val="hybridMultilevel"/>
    <w:tmpl w:val="F5568FD4"/>
    <w:lvl w:ilvl="0" w:tplc="41D0247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F8C6B00"/>
    <w:multiLevelType w:val="hybridMultilevel"/>
    <w:tmpl w:val="418AA66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10CDD"/>
    <w:multiLevelType w:val="hybridMultilevel"/>
    <w:tmpl w:val="635A04A4"/>
    <w:lvl w:ilvl="0" w:tplc="DD721F44">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849166F"/>
    <w:multiLevelType w:val="hybridMultilevel"/>
    <w:tmpl w:val="CDCA52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C2E5725"/>
    <w:multiLevelType w:val="hybridMultilevel"/>
    <w:tmpl w:val="CDCA52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F177AE9"/>
    <w:multiLevelType w:val="hybridMultilevel"/>
    <w:tmpl w:val="F5FA37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5"/>
  </w:num>
  <w:num w:numId="5">
    <w:abstractNumId w:val="6"/>
  </w:num>
  <w:num w:numId="6">
    <w:abstractNumId w:val="3"/>
  </w:num>
  <w:num w:numId="7">
    <w:abstractNumId w:val="2"/>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5F"/>
    <w:rsid w:val="0020172A"/>
    <w:rsid w:val="002D5F19"/>
    <w:rsid w:val="00387334"/>
    <w:rsid w:val="003D6D0C"/>
    <w:rsid w:val="004A47AC"/>
    <w:rsid w:val="0052473A"/>
    <w:rsid w:val="005766AC"/>
    <w:rsid w:val="005E1537"/>
    <w:rsid w:val="006817E9"/>
    <w:rsid w:val="0080360E"/>
    <w:rsid w:val="00894D00"/>
    <w:rsid w:val="0089620D"/>
    <w:rsid w:val="00903A5F"/>
    <w:rsid w:val="00987428"/>
    <w:rsid w:val="009E59D6"/>
    <w:rsid w:val="00AC6C02"/>
    <w:rsid w:val="00BD7797"/>
    <w:rsid w:val="00C10F70"/>
    <w:rsid w:val="00C14B82"/>
    <w:rsid w:val="00CB2240"/>
    <w:rsid w:val="00E77323"/>
    <w:rsid w:val="00FE7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E3875-2BF8-41B6-BD25-5BCC4275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3A5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Vidjssaraksts2">
    <w:name w:val="Medium List 2"/>
    <w:basedOn w:val="Parastatabula"/>
    <w:uiPriority w:val="66"/>
    <w:rsid w:val="00903A5F"/>
    <w:pPr>
      <w:spacing w:after="0" w:line="240" w:lineRule="auto"/>
    </w:pPr>
    <w:rPr>
      <w:rFonts w:asciiTheme="majorHAnsi" w:eastAsiaTheme="majorEastAsia" w:hAnsiTheme="majorHAnsi" w:cstheme="majorBidi"/>
      <w:color w:val="000000" w:themeColor="text1"/>
      <w:lang w:val="et-E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saite">
    <w:name w:val="Hyperlink"/>
    <w:basedOn w:val="Noklusjumarindkopasfonts"/>
    <w:uiPriority w:val="99"/>
    <w:unhideWhenUsed/>
    <w:rsid w:val="00903A5F"/>
    <w:rPr>
      <w:color w:val="0000FF" w:themeColor="hyperlink"/>
      <w:u w:val="single"/>
    </w:rPr>
  </w:style>
  <w:style w:type="paragraph" w:styleId="Sarakstarindkopa">
    <w:name w:val="List Paragraph"/>
    <w:aliases w:val="F List Paragraph"/>
    <w:basedOn w:val="Parasts"/>
    <w:link w:val="SarakstarindkopaRakstz"/>
    <w:uiPriority w:val="34"/>
    <w:qFormat/>
    <w:rsid w:val="00903A5F"/>
    <w:pPr>
      <w:ind w:left="720"/>
      <w:contextualSpacing/>
    </w:pPr>
  </w:style>
  <w:style w:type="paragraph" w:styleId="Vresteksts">
    <w:name w:val="footnote text"/>
    <w:basedOn w:val="Parasts"/>
    <w:link w:val="VrestekstsRakstz"/>
    <w:uiPriority w:val="99"/>
    <w:semiHidden/>
    <w:unhideWhenUsed/>
    <w:rsid w:val="00903A5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03A5F"/>
    <w:rPr>
      <w:sz w:val="20"/>
      <w:szCs w:val="20"/>
    </w:rPr>
  </w:style>
  <w:style w:type="character" w:styleId="Vresatsauce">
    <w:name w:val="footnote reference"/>
    <w:basedOn w:val="Noklusjumarindkopasfonts"/>
    <w:uiPriority w:val="99"/>
    <w:semiHidden/>
    <w:unhideWhenUsed/>
    <w:rsid w:val="00903A5F"/>
    <w:rPr>
      <w:vertAlign w:val="superscript"/>
    </w:rPr>
  </w:style>
  <w:style w:type="paragraph" w:styleId="Kjene">
    <w:name w:val="footer"/>
    <w:basedOn w:val="Parasts"/>
    <w:link w:val="KjeneRakstz"/>
    <w:uiPriority w:val="99"/>
    <w:unhideWhenUsed/>
    <w:rsid w:val="00903A5F"/>
    <w:pPr>
      <w:tabs>
        <w:tab w:val="center" w:pos="4536"/>
        <w:tab w:val="right" w:pos="9072"/>
      </w:tabs>
      <w:spacing w:after="0" w:line="240" w:lineRule="auto"/>
    </w:pPr>
  </w:style>
  <w:style w:type="character" w:customStyle="1" w:styleId="KjeneRakstz">
    <w:name w:val="Kājene Rakstz."/>
    <w:basedOn w:val="Noklusjumarindkopasfonts"/>
    <w:link w:val="Kjene"/>
    <w:uiPriority w:val="99"/>
    <w:rsid w:val="00903A5F"/>
  </w:style>
  <w:style w:type="character" w:customStyle="1" w:styleId="SarakstarindkopaRakstz">
    <w:name w:val="Saraksta rindkopa Rakstz."/>
    <w:aliases w:val="F List Paragraph Rakstz."/>
    <w:basedOn w:val="Noklusjumarindkopasfonts"/>
    <w:link w:val="Sarakstarindkopa"/>
    <w:uiPriority w:val="34"/>
    <w:rsid w:val="00903A5F"/>
  </w:style>
  <w:style w:type="table" w:styleId="Reatabula">
    <w:name w:val="Table Grid"/>
    <w:basedOn w:val="Parastatabula"/>
    <w:uiPriority w:val="39"/>
    <w:rsid w:val="00903A5F"/>
    <w:pPr>
      <w:spacing w:after="0" w:line="240" w:lineRule="auto"/>
    </w:pPr>
    <w:rPr>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3A5F"/>
    <w:pPr>
      <w:autoSpaceDE w:val="0"/>
      <w:autoSpaceDN w:val="0"/>
      <w:adjustRightInd w:val="0"/>
      <w:spacing w:after="0" w:line="240" w:lineRule="auto"/>
    </w:pPr>
    <w:rPr>
      <w:rFonts w:ascii="Calibri" w:hAnsi="Calibri" w:cs="Calibri"/>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6257</Words>
  <Characters>3567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Mūrniece</dc:creator>
  <cp:keywords/>
  <dc:description/>
  <cp:lastModifiedBy>Edīte Bieļa-Dailidoviča</cp:lastModifiedBy>
  <cp:revision>2</cp:revision>
  <dcterms:created xsi:type="dcterms:W3CDTF">2020-02-20T10:22:00Z</dcterms:created>
  <dcterms:modified xsi:type="dcterms:W3CDTF">2020-02-20T10:22:00Z</dcterms:modified>
</cp:coreProperties>
</file>