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E0195" w14:textId="2A7EDD03" w:rsidR="00E51A83" w:rsidRPr="00E51A83" w:rsidRDefault="00E51A83" w:rsidP="00E51A83">
      <w:pPr>
        <w:tabs>
          <w:tab w:val="left" w:pos="900"/>
        </w:tabs>
        <w:spacing w:after="160" w:line="259" w:lineRule="auto"/>
        <w:jc w:val="right"/>
        <w:rPr>
          <w:sz w:val="28"/>
          <w:szCs w:val="28"/>
        </w:rPr>
      </w:pPr>
      <w:bookmarkStart w:id="0" w:name="_Toc444699133"/>
      <w:bookmarkStart w:id="1" w:name="_GoBack"/>
      <w:bookmarkEnd w:id="1"/>
      <w:r w:rsidRPr="00E51A83">
        <w:rPr>
          <w:sz w:val="28"/>
          <w:szCs w:val="28"/>
        </w:rPr>
        <w:t>Pielikums</w:t>
      </w:r>
    </w:p>
    <w:p w14:paraId="3283C9E8" w14:textId="77777777" w:rsidR="00E51A83" w:rsidRDefault="00E51A83" w:rsidP="00E51A83">
      <w:pPr>
        <w:tabs>
          <w:tab w:val="left" w:pos="900"/>
        </w:tabs>
        <w:spacing w:after="160" w:line="259" w:lineRule="auto"/>
        <w:jc w:val="center"/>
        <w:rPr>
          <w:sz w:val="72"/>
        </w:rPr>
      </w:pPr>
    </w:p>
    <w:p w14:paraId="69097A51" w14:textId="77777777" w:rsidR="00E51A83" w:rsidRDefault="00E51A83" w:rsidP="00E51A83">
      <w:pPr>
        <w:tabs>
          <w:tab w:val="left" w:pos="900"/>
        </w:tabs>
        <w:spacing w:after="160" w:line="259" w:lineRule="auto"/>
        <w:jc w:val="center"/>
        <w:rPr>
          <w:sz w:val="72"/>
        </w:rPr>
      </w:pPr>
    </w:p>
    <w:p w14:paraId="30A00ABD" w14:textId="77777777" w:rsidR="00E51A83" w:rsidRDefault="00E51A83" w:rsidP="00E51A83">
      <w:pPr>
        <w:tabs>
          <w:tab w:val="left" w:pos="900"/>
        </w:tabs>
        <w:spacing w:after="160" w:line="259" w:lineRule="auto"/>
        <w:jc w:val="center"/>
        <w:rPr>
          <w:sz w:val="72"/>
        </w:rPr>
      </w:pPr>
    </w:p>
    <w:p w14:paraId="6B65933D" w14:textId="77777777" w:rsidR="00E51A83" w:rsidRDefault="00E51A83" w:rsidP="00E51A83">
      <w:pPr>
        <w:tabs>
          <w:tab w:val="left" w:pos="900"/>
        </w:tabs>
        <w:spacing w:after="160" w:line="259" w:lineRule="auto"/>
        <w:jc w:val="center"/>
        <w:rPr>
          <w:sz w:val="72"/>
        </w:rPr>
      </w:pPr>
    </w:p>
    <w:p w14:paraId="224375C8" w14:textId="77777777" w:rsidR="00E51A83" w:rsidRDefault="00E51A83" w:rsidP="00E51A83">
      <w:pPr>
        <w:tabs>
          <w:tab w:val="left" w:pos="900"/>
        </w:tabs>
        <w:spacing w:after="160" w:line="259" w:lineRule="auto"/>
        <w:jc w:val="center"/>
        <w:rPr>
          <w:sz w:val="72"/>
        </w:rPr>
      </w:pPr>
    </w:p>
    <w:p w14:paraId="09C0767B" w14:textId="02F23E0F" w:rsidR="00FD7F6F" w:rsidRPr="00CB4A63" w:rsidRDefault="003E521D" w:rsidP="00E51A83">
      <w:pPr>
        <w:tabs>
          <w:tab w:val="left" w:pos="900"/>
        </w:tabs>
        <w:spacing w:after="160" w:line="259" w:lineRule="auto"/>
        <w:jc w:val="center"/>
        <w:rPr>
          <w:sz w:val="72"/>
        </w:rPr>
      </w:pPr>
      <w:r>
        <w:rPr>
          <w:sz w:val="72"/>
        </w:rPr>
        <w:t>Visu NETO TSO plāna priekšlikums</w:t>
      </w:r>
    </w:p>
    <w:p w14:paraId="378DFF1C" w14:textId="77777777" w:rsidR="003F2F23" w:rsidRPr="00CB4A63" w:rsidRDefault="00D1497D" w:rsidP="00FD7F6F">
      <w:pPr>
        <w:tabs>
          <w:tab w:val="left" w:pos="900"/>
        </w:tabs>
        <w:spacing w:before="120" w:after="160" w:line="259" w:lineRule="auto"/>
        <w:jc w:val="center"/>
        <w:rPr>
          <w:sz w:val="28"/>
        </w:rPr>
      </w:pPr>
      <w:r>
        <w:rPr>
          <w:sz w:val="28"/>
        </w:rPr>
        <w:t>2017. gada 13. aprīlis</w:t>
      </w:r>
    </w:p>
    <w:p w14:paraId="5D80B860" w14:textId="77777777" w:rsidR="003E521D" w:rsidRPr="00CB4A63" w:rsidRDefault="003E521D">
      <w:pPr>
        <w:spacing w:after="160" w:line="259" w:lineRule="auto"/>
      </w:pPr>
    </w:p>
    <w:p w14:paraId="2E2E2799" w14:textId="77777777" w:rsidR="003E521D" w:rsidRPr="00CB4A63" w:rsidRDefault="003E521D" w:rsidP="003E521D">
      <w:pPr>
        <w:autoSpaceDE w:val="0"/>
        <w:autoSpaceDN w:val="0"/>
        <w:adjustRightInd w:val="0"/>
        <w:spacing w:after="0" w:line="240" w:lineRule="auto"/>
        <w:rPr>
          <w:rFonts w:ascii="Arial" w:hAnsi="Arial" w:cs="Arial"/>
          <w:color w:val="000000"/>
          <w:sz w:val="24"/>
          <w:szCs w:val="24"/>
        </w:rPr>
      </w:pPr>
    </w:p>
    <w:p w14:paraId="3BB1E190" w14:textId="77777777" w:rsidR="003E521D" w:rsidRPr="00CB4A63" w:rsidRDefault="003E521D">
      <w:pPr>
        <w:spacing w:after="160" w:line="259" w:lineRule="auto"/>
      </w:pPr>
    </w:p>
    <w:p w14:paraId="32272801" w14:textId="77777777" w:rsidR="003E521D" w:rsidRPr="00CB4A63" w:rsidRDefault="003E521D">
      <w:pPr>
        <w:spacing w:after="160" w:line="259" w:lineRule="auto"/>
      </w:pPr>
    </w:p>
    <w:p w14:paraId="23368E46" w14:textId="77777777" w:rsidR="003E521D" w:rsidRPr="00CB4A63" w:rsidRDefault="003E521D">
      <w:pPr>
        <w:spacing w:after="160" w:line="259" w:lineRule="auto"/>
      </w:pPr>
    </w:p>
    <w:p w14:paraId="7EFCDA15" w14:textId="77777777" w:rsidR="003E521D" w:rsidRPr="00CB4A63" w:rsidRDefault="003E521D">
      <w:pPr>
        <w:spacing w:after="160" w:line="259" w:lineRule="auto"/>
      </w:pPr>
    </w:p>
    <w:p w14:paraId="454762D8" w14:textId="77777777" w:rsidR="003E521D" w:rsidRPr="00CB4A63" w:rsidRDefault="003E521D" w:rsidP="003E521D">
      <w:r>
        <w:rPr>
          <w:u w:val="single"/>
        </w:rPr>
        <w:t>Šo dokumentu kopīgi sagatavoja un apstiprināja</w:t>
      </w:r>
    </w:p>
    <w:p w14:paraId="5EA7E530" w14:textId="170C2338" w:rsidR="003F2F23" w:rsidRPr="00CB4A63" w:rsidRDefault="003E521D" w:rsidP="003E521D">
      <w:pPr>
        <w:jc w:val="both"/>
      </w:pPr>
      <w:r>
        <w:rPr>
          <w:b/>
        </w:rPr>
        <w:t>„BSP Regional Energy Exchange LLC”</w:t>
      </w:r>
      <w:r>
        <w:t xml:space="preserve">, </w:t>
      </w:r>
      <w:r>
        <w:rPr>
          <w:b/>
        </w:rPr>
        <w:t>„Croatian Power Exchange Ltd.”</w:t>
      </w:r>
      <w:r>
        <w:t xml:space="preserve">, </w:t>
      </w:r>
      <w:r>
        <w:rPr>
          <w:b/>
        </w:rPr>
        <w:t>„EirGrid plc”</w:t>
      </w:r>
      <w:r>
        <w:t xml:space="preserve">, </w:t>
      </w:r>
      <w:r>
        <w:rPr>
          <w:b/>
        </w:rPr>
        <w:t>„EPEX SPOT SE”</w:t>
      </w:r>
      <w:r>
        <w:t xml:space="preserve">, </w:t>
      </w:r>
      <w:r>
        <w:rPr>
          <w:b/>
        </w:rPr>
        <w:t>„EPEX SPOT Belgium SA”</w:t>
      </w:r>
      <w:r>
        <w:t xml:space="preserve">, </w:t>
      </w:r>
      <w:r>
        <w:rPr>
          <w:b/>
        </w:rPr>
        <w:t>„EXAA Abwicklungsstelle für Energieprodukte AG”</w:t>
      </w:r>
      <w:r>
        <w:t xml:space="preserve">, </w:t>
      </w:r>
      <w:r>
        <w:rPr>
          <w:b/>
        </w:rPr>
        <w:t>„Gestore dei Mercati Energetici S.p.A.”, „HUPX Hungarian Power Exchange Company Limited by Shares”, „Independent Bulgarian Energy Exchange EAD”</w:t>
      </w:r>
      <w:r>
        <w:t xml:space="preserve">, </w:t>
      </w:r>
      <w:r>
        <w:rPr>
          <w:b/>
        </w:rPr>
        <w:t>„Operator of Electricity Market S.A.”</w:t>
      </w:r>
      <w:r>
        <w:t xml:space="preserve">, </w:t>
      </w:r>
      <w:r>
        <w:rPr>
          <w:b/>
        </w:rPr>
        <w:t>„Nord Pool AS”, „OKTE a.s.”, „OMI Polo Español S.A. (OMIE)”, „Operatorul Pieţei de Energie Electrică şi de Gaze Naturale „OPCOM” SA”, „OTE A.S”</w:t>
      </w:r>
      <w:r>
        <w:t xml:space="preserve">, </w:t>
      </w:r>
      <w:r>
        <w:rPr>
          <w:b/>
        </w:rPr>
        <w:t>„SONI Limited”</w:t>
      </w:r>
      <w:r>
        <w:t xml:space="preserve"> un </w:t>
      </w:r>
      <w:r>
        <w:rPr>
          <w:b/>
        </w:rPr>
        <w:t>„Towarowa Giełda Energii S.A.”</w:t>
      </w:r>
      <w:r>
        <w:t>.</w:t>
      </w:r>
      <w:r>
        <w:br w:type="page"/>
      </w:r>
    </w:p>
    <w:sdt>
      <w:sdtPr>
        <w:rPr>
          <w:rFonts w:asciiTheme="minorHAnsi" w:eastAsiaTheme="minorHAnsi" w:hAnsiTheme="minorHAnsi" w:cstheme="minorBidi"/>
          <w:b/>
          <w:bCs/>
          <w:noProof/>
          <w:color w:val="auto"/>
          <w:sz w:val="22"/>
          <w:szCs w:val="22"/>
        </w:rPr>
        <w:id w:val="1921140913"/>
        <w:docPartObj>
          <w:docPartGallery w:val="Table of Contents"/>
          <w:docPartUnique/>
        </w:docPartObj>
      </w:sdtPr>
      <w:sdtEndPr/>
      <w:sdtContent>
        <w:p w14:paraId="6A1051C7" w14:textId="77777777" w:rsidR="003F2F23" w:rsidRPr="00CB4A63" w:rsidRDefault="003F2F23">
          <w:pPr>
            <w:pStyle w:val="Saturardtjavirsraksts"/>
          </w:pPr>
          <w:r>
            <w:t>Saturs</w:t>
          </w:r>
        </w:p>
        <w:p w14:paraId="7FFF0B6F" w14:textId="31A07294" w:rsidR="00B06A4A" w:rsidRDefault="003F2F23">
          <w:pPr>
            <w:pStyle w:val="Saturs1"/>
            <w:rPr>
              <w:rFonts w:asciiTheme="minorHAnsi" w:eastAsiaTheme="minorEastAsia" w:hAnsiTheme="minorHAnsi" w:cstheme="minorBidi"/>
              <w:bCs w:val="0"/>
              <w:lang w:bidi="ar-SA"/>
            </w:rPr>
          </w:pPr>
          <w:r w:rsidRPr="00CB4A63">
            <w:fldChar w:fldCharType="begin"/>
          </w:r>
          <w:r w:rsidRPr="00CB4A63">
            <w:instrText xml:space="preserve"> TOC \o "1-3" \h \z \u </w:instrText>
          </w:r>
          <w:r w:rsidRPr="00CB4A63">
            <w:fldChar w:fldCharType="separate"/>
          </w:r>
          <w:hyperlink w:anchor="_Toc484770670" w:history="1">
            <w:r w:rsidR="00B06A4A" w:rsidRPr="005054F3">
              <w:rPr>
                <w:rStyle w:val="Hipersaite"/>
              </w:rPr>
              <w:t>1</w:t>
            </w:r>
            <w:r w:rsidR="00B06A4A">
              <w:rPr>
                <w:rFonts w:asciiTheme="minorHAnsi" w:eastAsiaTheme="minorEastAsia" w:hAnsiTheme="minorHAnsi" w:cstheme="minorBidi"/>
                <w:bCs w:val="0"/>
                <w:lang w:bidi="ar-SA"/>
              </w:rPr>
              <w:tab/>
            </w:r>
            <w:r w:rsidR="00B06A4A" w:rsidRPr="005054F3">
              <w:rPr>
                <w:rStyle w:val="Hipersaite"/>
              </w:rPr>
              <w:t>IEVADS</w:t>
            </w:r>
            <w:r w:rsidR="00B06A4A">
              <w:rPr>
                <w:webHidden/>
              </w:rPr>
              <w:tab/>
            </w:r>
            <w:r w:rsidR="00B06A4A">
              <w:rPr>
                <w:webHidden/>
              </w:rPr>
              <w:fldChar w:fldCharType="begin"/>
            </w:r>
            <w:r w:rsidR="00B06A4A">
              <w:rPr>
                <w:webHidden/>
              </w:rPr>
              <w:instrText xml:space="preserve"> PAGEREF _Toc484770670 \h </w:instrText>
            </w:r>
            <w:r w:rsidR="00B06A4A">
              <w:rPr>
                <w:webHidden/>
              </w:rPr>
            </w:r>
            <w:r w:rsidR="00B06A4A">
              <w:rPr>
                <w:webHidden/>
              </w:rPr>
              <w:fldChar w:fldCharType="separate"/>
            </w:r>
            <w:r w:rsidR="00B06A4A">
              <w:rPr>
                <w:webHidden/>
              </w:rPr>
              <w:t>3</w:t>
            </w:r>
            <w:r w:rsidR="00B06A4A">
              <w:rPr>
                <w:webHidden/>
              </w:rPr>
              <w:fldChar w:fldCharType="end"/>
            </w:r>
          </w:hyperlink>
        </w:p>
        <w:p w14:paraId="7666AEA3" w14:textId="30B8B4ED" w:rsidR="00B06A4A" w:rsidRDefault="004C765F">
          <w:pPr>
            <w:pStyle w:val="Saturs2"/>
            <w:rPr>
              <w:rFonts w:asciiTheme="minorHAnsi" w:eastAsiaTheme="minorEastAsia" w:hAnsiTheme="minorHAnsi" w:cstheme="minorBidi"/>
              <w:b w:val="0"/>
              <w:bCs w:val="0"/>
              <w:lang w:bidi="ar-SA"/>
            </w:rPr>
          </w:pPr>
          <w:hyperlink w:anchor="_Toc484770671" w:history="1">
            <w:r w:rsidR="00B06A4A" w:rsidRPr="005054F3">
              <w:rPr>
                <w:rStyle w:val="Hipersaite"/>
                <w:rFonts w:eastAsia="Times New Roman"/>
              </w:rPr>
              <w:t>1.1</w:t>
            </w:r>
            <w:r w:rsidR="00B06A4A">
              <w:rPr>
                <w:rFonts w:asciiTheme="minorHAnsi" w:eastAsiaTheme="minorEastAsia" w:hAnsiTheme="minorHAnsi" w:cstheme="minorBidi"/>
                <w:b w:val="0"/>
                <w:bCs w:val="0"/>
                <w:lang w:bidi="ar-SA"/>
              </w:rPr>
              <w:tab/>
            </w:r>
            <w:r w:rsidR="00B06A4A" w:rsidRPr="005054F3">
              <w:rPr>
                <w:rStyle w:val="Hipersaite"/>
              </w:rPr>
              <w:t>Atbilstības CACM regulas 3. pantā norādītajiem mērķiem novērtēšana</w:t>
            </w:r>
            <w:r w:rsidR="00B06A4A">
              <w:rPr>
                <w:webHidden/>
              </w:rPr>
              <w:tab/>
            </w:r>
            <w:r w:rsidR="00B06A4A">
              <w:rPr>
                <w:webHidden/>
              </w:rPr>
              <w:fldChar w:fldCharType="begin"/>
            </w:r>
            <w:r w:rsidR="00B06A4A">
              <w:rPr>
                <w:webHidden/>
              </w:rPr>
              <w:instrText xml:space="preserve"> PAGEREF _Toc484770671 \h </w:instrText>
            </w:r>
            <w:r w:rsidR="00B06A4A">
              <w:rPr>
                <w:webHidden/>
              </w:rPr>
            </w:r>
            <w:r w:rsidR="00B06A4A">
              <w:rPr>
                <w:webHidden/>
              </w:rPr>
              <w:fldChar w:fldCharType="separate"/>
            </w:r>
            <w:r w:rsidR="00B06A4A">
              <w:rPr>
                <w:webHidden/>
              </w:rPr>
              <w:t>5</w:t>
            </w:r>
            <w:r w:rsidR="00B06A4A">
              <w:rPr>
                <w:webHidden/>
              </w:rPr>
              <w:fldChar w:fldCharType="end"/>
            </w:r>
          </w:hyperlink>
        </w:p>
        <w:p w14:paraId="5C46933B" w14:textId="7086F6E2" w:rsidR="00B06A4A" w:rsidRDefault="004C765F">
          <w:pPr>
            <w:pStyle w:val="Saturs3"/>
            <w:rPr>
              <w:rFonts w:eastAsiaTheme="minorEastAsia"/>
              <w:b w:val="0"/>
              <w:lang w:bidi="ar-SA"/>
            </w:rPr>
          </w:pPr>
          <w:hyperlink w:anchor="_Toc484770672" w:history="1">
            <w:r w:rsidR="00B06A4A" w:rsidRPr="005054F3">
              <w:rPr>
                <w:rStyle w:val="Hipersaite"/>
                <w:rFonts w:eastAsia="Times New Roman"/>
                <w:lang w:val="en-US"/>
              </w:rPr>
              <w:t>1.1.1</w:t>
            </w:r>
            <w:r w:rsidR="00B06A4A">
              <w:rPr>
                <w:rFonts w:eastAsiaTheme="minorEastAsia"/>
                <w:b w:val="0"/>
                <w:lang w:bidi="ar-SA"/>
              </w:rPr>
              <w:tab/>
            </w:r>
            <w:r w:rsidR="00B06A4A" w:rsidRPr="005054F3">
              <w:rPr>
                <w:rStyle w:val="Hipersaite"/>
              </w:rPr>
              <w:t>Vispārīgas piezīmes</w:t>
            </w:r>
            <w:r w:rsidR="00B06A4A">
              <w:rPr>
                <w:webHidden/>
              </w:rPr>
              <w:tab/>
            </w:r>
            <w:r w:rsidR="00B06A4A">
              <w:rPr>
                <w:webHidden/>
              </w:rPr>
              <w:fldChar w:fldCharType="begin"/>
            </w:r>
            <w:r w:rsidR="00B06A4A">
              <w:rPr>
                <w:webHidden/>
              </w:rPr>
              <w:instrText xml:space="preserve"> PAGEREF _Toc484770672 \h </w:instrText>
            </w:r>
            <w:r w:rsidR="00B06A4A">
              <w:rPr>
                <w:webHidden/>
              </w:rPr>
            </w:r>
            <w:r w:rsidR="00B06A4A">
              <w:rPr>
                <w:webHidden/>
              </w:rPr>
              <w:fldChar w:fldCharType="separate"/>
            </w:r>
            <w:r w:rsidR="00B06A4A">
              <w:rPr>
                <w:webHidden/>
              </w:rPr>
              <w:t>5</w:t>
            </w:r>
            <w:r w:rsidR="00B06A4A">
              <w:rPr>
                <w:webHidden/>
              </w:rPr>
              <w:fldChar w:fldCharType="end"/>
            </w:r>
          </w:hyperlink>
        </w:p>
        <w:p w14:paraId="1A8B2D8E" w14:textId="3031E533" w:rsidR="00B06A4A" w:rsidRDefault="004C765F">
          <w:pPr>
            <w:pStyle w:val="Saturs3"/>
            <w:rPr>
              <w:rFonts w:eastAsiaTheme="minorEastAsia"/>
              <w:b w:val="0"/>
              <w:lang w:bidi="ar-SA"/>
            </w:rPr>
          </w:pPr>
          <w:hyperlink w:anchor="_Toc484770673" w:history="1">
            <w:r w:rsidR="00B06A4A" w:rsidRPr="005054F3">
              <w:rPr>
                <w:rStyle w:val="Hipersaite"/>
                <w:lang w:val="en-US"/>
              </w:rPr>
              <w:t>1.1.2</w:t>
            </w:r>
            <w:r w:rsidR="00B06A4A">
              <w:rPr>
                <w:rFonts w:eastAsiaTheme="minorEastAsia"/>
                <w:b w:val="0"/>
                <w:lang w:bidi="ar-SA"/>
              </w:rPr>
              <w:tab/>
            </w:r>
            <w:r w:rsidR="00B06A4A" w:rsidRPr="005054F3">
              <w:rPr>
                <w:rStyle w:val="Hipersaite"/>
              </w:rPr>
              <w:t>Mērķa „a) efektīvas konkurences veicināšana elektroenerģijas ražošanā, tirdzniecībā un piegādē” novērtēšana</w:t>
            </w:r>
            <w:r w:rsidR="00B06A4A">
              <w:rPr>
                <w:webHidden/>
              </w:rPr>
              <w:tab/>
            </w:r>
            <w:r w:rsidR="00B06A4A">
              <w:rPr>
                <w:webHidden/>
              </w:rPr>
              <w:fldChar w:fldCharType="begin"/>
            </w:r>
            <w:r w:rsidR="00B06A4A">
              <w:rPr>
                <w:webHidden/>
              </w:rPr>
              <w:instrText xml:space="preserve"> PAGEREF _Toc484770673 \h </w:instrText>
            </w:r>
            <w:r w:rsidR="00B06A4A">
              <w:rPr>
                <w:webHidden/>
              </w:rPr>
            </w:r>
            <w:r w:rsidR="00B06A4A">
              <w:rPr>
                <w:webHidden/>
              </w:rPr>
              <w:fldChar w:fldCharType="separate"/>
            </w:r>
            <w:r w:rsidR="00B06A4A">
              <w:rPr>
                <w:webHidden/>
              </w:rPr>
              <w:t>6</w:t>
            </w:r>
            <w:r w:rsidR="00B06A4A">
              <w:rPr>
                <w:webHidden/>
              </w:rPr>
              <w:fldChar w:fldCharType="end"/>
            </w:r>
          </w:hyperlink>
        </w:p>
        <w:p w14:paraId="685F625F" w14:textId="2133691B" w:rsidR="00B06A4A" w:rsidRDefault="004C765F">
          <w:pPr>
            <w:pStyle w:val="Saturs3"/>
            <w:rPr>
              <w:rFonts w:eastAsiaTheme="minorEastAsia"/>
              <w:b w:val="0"/>
              <w:lang w:bidi="ar-SA"/>
            </w:rPr>
          </w:pPr>
          <w:hyperlink w:anchor="_Toc484770674" w:history="1">
            <w:r w:rsidR="00B06A4A" w:rsidRPr="005054F3">
              <w:rPr>
                <w:rStyle w:val="Hipersaite"/>
                <w:lang w:val="en-US"/>
              </w:rPr>
              <w:t>1.1.3</w:t>
            </w:r>
            <w:r w:rsidR="00B06A4A">
              <w:rPr>
                <w:rFonts w:eastAsiaTheme="minorEastAsia"/>
                <w:b w:val="0"/>
                <w:lang w:bidi="ar-SA"/>
              </w:rPr>
              <w:tab/>
            </w:r>
            <w:r w:rsidR="00B06A4A" w:rsidRPr="005054F3">
              <w:rPr>
                <w:rStyle w:val="Hipersaite"/>
              </w:rPr>
              <w:t>Mērķa „b) pārvades infrastruktūras optimāla izmantojuma nodrošināšana” un „c) darbības drošības nodrošināšana” novērtēšana</w:t>
            </w:r>
            <w:r w:rsidR="00B06A4A">
              <w:rPr>
                <w:webHidden/>
              </w:rPr>
              <w:tab/>
            </w:r>
            <w:r w:rsidR="00B06A4A">
              <w:rPr>
                <w:webHidden/>
              </w:rPr>
              <w:fldChar w:fldCharType="begin"/>
            </w:r>
            <w:r w:rsidR="00B06A4A">
              <w:rPr>
                <w:webHidden/>
              </w:rPr>
              <w:instrText xml:space="preserve"> PAGEREF _Toc484770674 \h </w:instrText>
            </w:r>
            <w:r w:rsidR="00B06A4A">
              <w:rPr>
                <w:webHidden/>
              </w:rPr>
            </w:r>
            <w:r w:rsidR="00B06A4A">
              <w:rPr>
                <w:webHidden/>
              </w:rPr>
              <w:fldChar w:fldCharType="separate"/>
            </w:r>
            <w:r w:rsidR="00B06A4A">
              <w:rPr>
                <w:webHidden/>
              </w:rPr>
              <w:t>6</w:t>
            </w:r>
            <w:r w:rsidR="00B06A4A">
              <w:rPr>
                <w:webHidden/>
              </w:rPr>
              <w:fldChar w:fldCharType="end"/>
            </w:r>
          </w:hyperlink>
        </w:p>
        <w:p w14:paraId="2E4DC2C9" w14:textId="259C8033" w:rsidR="00B06A4A" w:rsidRDefault="004C765F">
          <w:pPr>
            <w:pStyle w:val="Saturs3"/>
            <w:rPr>
              <w:rFonts w:eastAsiaTheme="minorEastAsia"/>
              <w:b w:val="0"/>
              <w:lang w:bidi="ar-SA"/>
            </w:rPr>
          </w:pPr>
          <w:hyperlink w:anchor="_Toc484770675" w:history="1">
            <w:r w:rsidR="00B06A4A" w:rsidRPr="005054F3">
              <w:rPr>
                <w:rStyle w:val="Hipersaite"/>
                <w:lang w:val="en-US"/>
              </w:rPr>
              <w:t>1.1.4</w:t>
            </w:r>
            <w:r w:rsidR="00B06A4A">
              <w:rPr>
                <w:rFonts w:eastAsiaTheme="minorEastAsia"/>
                <w:b w:val="0"/>
                <w:lang w:bidi="ar-SA"/>
              </w:rPr>
              <w:tab/>
            </w:r>
            <w:r w:rsidR="00B06A4A" w:rsidRPr="005054F3">
              <w:rPr>
                <w:rStyle w:val="Hipersaite"/>
              </w:rPr>
              <w:t>Mērķa „d) starpzonu jaudas aprēķināšanas un piešķiršanas optimizācija” novērtēšana</w:t>
            </w:r>
            <w:r w:rsidR="00B06A4A">
              <w:rPr>
                <w:webHidden/>
              </w:rPr>
              <w:tab/>
            </w:r>
            <w:r w:rsidR="00B06A4A">
              <w:rPr>
                <w:webHidden/>
              </w:rPr>
              <w:fldChar w:fldCharType="begin"/>
            </w:r>
            <w:r w:rsidR="00B06A4A">
              <w:rPr>
                <w:webHidden/>
              </w:rPr>
              <w:instrText xml:space="preserve"> PAGEREF _Toc484770675 \h </w:instrText>
            </w:r>
            <w:r w:rsidR="00B06A4A">
              <w:rPr>
                <w:webHidden/>
              </w:rPr>
            </w:r>
            <w:r w:rsidR="00B06A4A">
              <w:rPr>
                <w:webHidden/>
              </w:rPr>
              <w:fldChar w:fldCharType="separate"/>
            </w:r>
            <w:r w:rsidR="00B06A4A">
              <w:rPr>
                <w:webHidden/>
              </w:rPr>
              <w:t>7</w:t>
            </w:r>
            <w:r w:rsidR="00B06A4A">
              <w:rPr>
                <w:webHidden/>
              </w:rPr>
              <w:fldChar w:fldCharType="end"/>
            </w:r>
          </w:hyperlink>
        </w:p>
        <w:p w14:paraId="78365E8D" w14:textId="3CED60EA" w:rsidR="00B06A4A" w:rsidRDefault="004C765F">
          <w:pPr>
            <w:pStyle w:val="Saturs3"/>
            <w:rPr>
              <w:rFonts w:eastAsiaTheme="minorEastAsia"/>
              <w:b w:val="0"/>
              <w:lang w:bidi="ar-SA"/>
            </w:rPr>
          </w:pPr>
          <w:hyperlink w:anchor="_Toc484770676" w:history="1">
            <w:r w:rsidR="00B06A4A" w:rsidRPr="005054F3">
              <w:rPr>
                <w:rStyle w:val="Hipersaite"/>
                <w:lang w:val="en-US"/>
              </w:rPr>
              <w:t>1.1.5</w:t>
            </w:r>
            <w:r w:rsidR="00B06A4A">
              <w:rPr>
                <w:rFonts w:eastAsiaTheme="minorEastAsia"/>
                <w:b w:val="0"/>
                <w:lang w:bidi="ar-SA"/>
              </w:rPr>
              <w:tab/>
            </w:r>
            <w:r w:rsidR="00B06A4A" w:rsidRPr="005054F3">
              <w:rPr>
                <w:rStyle w:val="Hipersaite"/>
              </w:rPr>
              <w:t>Mērķa „e) taisnīgas un nediskriminējošas attieksmes pret PSO, NETO, aģentūru, pārvaldes iestādēm un tirgus dalībniekiem nodrošināšana” novērtēšana</w:t>
            </w:r>
            <w:r w:rsidR="00B06A4A">
              <w:rPr>
                <w:webHidden/>
              </w:rPr>
              <w:tab/>
            </w:r>
            <w:r w:rsidR="00B06A4A">
              <w:rPr>
                <w:webHidden/>
              </w:rPr>
              <w:fldChar w:fldCharType="begin"/>
            </w:r>
            <w:r w:rsidR="00B06A4A">
              <w:rPr>
                <w:webHidden/>
              </w:rPr>
              <w:instrText xml:space="preserve"> PAGEREF _Toc484770676 \h </w:instrText>
            </w:r>
            <w:r w:rsidR="00B06A4A">
              <w:rPr>
                <w:webHidden/>
              </w:rPr>
            </w:r>
            <w:r w:rsidR="00B06A4A">
              <w:rPr>
                <w:webHidden/>
              </w:rPr>
              <w:fldChar w:fldCharType="separate"/>
            </w:r>
            <w:r w:rsidR="00B06A4A">
              <w:rPr>
                <w:webHidden/>
              </w:rPr>
              <w:t>7</w:t>
            </w:r>
            <w:r w:rsidR="00B06A4A">
              <w:rPr>
                <w:webHidden/>
              </w:rPr>
              <w:fldChar w:fldCharType="end"/>
            </w:r>
          </w:hyperlink>
        </w:p>
        <w:p w14:paraId="58D636A4" w14:textId="7B8203B8" w:rsidR="00B06A4A" w:rsidRDefault="004C765F">
          <w:pPr>
            <w:pStyle w:val="Saturs3"/>
            <w:rPr>
              <w:rFonts w:eastAsiaTheme="minorEastAsia"/>
              <w:b w:val="0"/>
              <w:lang w:bidi="ar-SA"/>
            </w:rPr>
          </w:pPr>
          <w:hyperlink w:anchor="_Toc484770677" w:history="1">
            <w:r w:rsidR="00B06A4A" w:rsidRPr="005054F3">
              <w:rPr>
                <w:rStyle w:val="Hipersaite"/>
                <w:lang w:val="en-US"/>
              </w:rPr>
              <w:t>1.1.6</w:t>
            </w:r>
            <w:r w:rsidR="00B06A4A">
              <w:rPr>
                <w:rFonts w:eastAsiaTheme="minorEastAsia"/>
                <w:b w:val="0"/>
                <w:lang w:bidi="ar-SA"/>
              </w:rPr>
              <w:tab/>
            </w:r>
            <w:r w:rsidR="00B06A4A" w:rsidRPr="005054F3">
              <w:rPr>
                <w:rStyle w:val="Hipersaite"/>
              </w:rPr>
              <w:t>Mērķa „f) pārredzamības un informācijas ticamības nodrošināšana un uzlabošana” novērtēšana</w:t>
            </w:r>
            <w:r w:rsidR="00B06A4A">
              <w:rPr>
                <w:webHidden/>
              </w:rPr>
              <w:tab/>
            </w:r>
            <w:r w:rsidR="00B06A4A">
              <w:rPr>
                <w:webHidden/>
              </w:rPr>
              <w:fldChar w:fldCharType="begin"/>
            </w:r>
            <w:r w:rsidR="00B06A4A">
              <w:rPr>
                <w:webHidden/>
              </w:rPr>
              <w:instrText xml:space="preserve"> PAGEREF _Toc484770677 \h </w:instrText>
            </w:r>
            <w:r w:rsidR="00B06A4A">
              <w:rPr>
                <w:webHidden/>
              </w:rPr>
            </w:r>
            <w:r w:rsidR="00B06A4A">
              <w:rPr>
                <w:webHidden/>
              </w:rPr>
              <w:fldChar w:fldCharType="separate"/>
            </w:r>
            <w:r w:rsidR="00B06A4A">
              <w:rPr>
                <w:webHidden/>
              </w:rPr>
              <w:t>7</w:t>
            </w:r>
            <w:r w:rsidR="00B06A4A">
              <w:rPr>
                <w:webHidden/>
              </w:rPr>
              <w:fldChar w:fldCharType="end"/>
            </w:r>
          </w:hyperlink>
        </w:p>
        <w:p w14:paraId="2CFB0F51" w14:textId="57716E18" w:rsidR="00B06A4A" w:rsidRDefault="004C765F">
          <w:pPr>
            <w:pStyle w:val="Saturs3"/>
            <w:rPr>
              <w:rFonts w:eastAsiaTheme="minorEastAsia"/>
              <w:b w:val="0"/>
              <w:lang w:bidi="ar-SA"/>
            </w:rPr>
          </w:pPr>
          <w:hyperlink w:anchor="_Toc484770678" w:history="1">
            <w:r w:rsidR="00B06A4A" w:rsidRPr="005054F3">
              <w:rPr>
                <w:rStyle w:val="Hipersaite"/>
                <w:lang w:val="en-US"/>
              </w:rPr>
              <w:t>1.1.7</w:t>
            </w:r>
            <w:r w:rsidR="00B06A4A">
              <w:rPr>
                <w:rFonts w:eastAsiaTheme="minorEastAsia"/>
                <w:b w:val="0"/>
                <w:lang w:bidi="ar-SA"/>
              </w:rPr>
              <w:tab/>
            </w:r>
            <w:r w:rsidR="00B06A4A" w:rsidRPr="005054F3">
              <w:rPr>
                <w:rStyle w:val="Hipersaite"/>
              </w:rPr>
              <w:t>Mērķa „g) elektroenerģijas pārvades sistēmas un elektroenerģijas sektora efektīvas ilgtermiņa darbības un attīstības sekmēšana Savienībā” novērtēšana</w:t>
            </w:r>
            <w:r w:rsidR="00B06A4A">
              <w:rPr>
                <w:webHidden/>
              </w:rPr>
              <w:tab/>
            </w:r>
            <w:r w:rsidR="00B06A4A">
              <w:rPr>
                <w:webHidden/>
              </w:rPr>
              <w:fldChar w:fldCharType="begin"/>
            </w:r>
            <w:r w:rsidR="00B06A4A">
              <w:rPr>
                <w:webHidden/>
              </w:rPr>
              <w:instrText xml:space="preserve"> PAGEREF _Toc484770678 \h </w:instrText>
            </w:r>
            <w:r w:rsidR="00B06A4A">
              <w:rPr>
                <w:webHidden/>
              </w:rPr>
            </w:r>
            <w:r w:rsidR="00B06A4A">
              <w:rPr>
                <w:webHidden/>
              </w:rPr>
              <w:fldChar w:fldCharType="separate"/>
            </w:r>
            <w:r w:rsidR="00B06A4A">
              <w:rPr>
                <w:webHidden/>
              </w:rPr>
              <w:t>7</w:t>
            </w:r>
            <w:r w:rsidR="00B06A4A">
              <w:rPr>
                <w:webHidden/>
              </w:rPr>
              <w:fldChar w:fldCharType="end"/>
            </w:r>
          </w:hyperlink>
        </w:p>
        <w:p w14:paraId="368752D2" w14:textId="7CF9FC1A" w:rsidR="00B06A4A" w:rsidRDefault="004C765F">
          <w:pPr>
            <w:pStyle w:val="Saturs3"/>
            <w:rPr>
              <w:rFonts w:eastAsiaTheme="minorEastAsia"/>
              <w:b w:val="0"/>
              <w:lang w:bidi="ar-SA"/>
            </w:rPr>
          </w:pPr>
          <w:hyperlink w:anchor="_Toc484770679" w:history="1">
            <w:r w:rsidR="00B06A4A" w:rsidRPr="005054F3">
              <w:rPr>
                <w:rStyle w:val="Hipersaite"/>
                <w:lang w:val="en-US"/>
              </w:rPr>
              <w:t>1.1.8</w:t>
            </w:r>
            <w:r w:rsidR="00B06A4A">
              <w:rPr>
                <w:rFonts w:eastAsiaTheme="minorEastAsia"/>
                <w:b w:val="0"/>
                <w:lang w:bidi="ar-SA"/>
              </w:rPr>
              <w:tab/>
            </w:r>
            <w:r w:rsidR="00B06A4A" w:rsidRPr="005054F3">
              <w:rPr>
                <w:rStyle w:val="Hipersaite"/>
              </w:rPr>
              <w:t>Mērķa „h) vajadzības nodrošināt taisnīgu un akurātu tirgu un taisnīgu un akurātu cenu veidošanu vērā ņemšana” novērtēšana</w:t>
            </w:r>
            <w:r w:rsidR="00B06A4A">
              <w:rPr>
                <w:webHidden/>
              </w:rPr>
              <w:tab/>
            </w:r>
            <w:r w:rsidR="00B06A4A">
              <w:rPr>
                <w:webHidden/>
              </w:rPr>
              <w:fldChar w:fldCharType="begin"/>
            </w:r>
            <w:r w:rsidR="00B06A4A">
              <w:rPr>
                <w:webHidden/>
              </w:rPr>
              <w:instrText xml:space="preserve"> PAGEREF _Toc484770679 \h </w:instrText>
            </w:r>
            <w:r w:rsidR="00B06A4A">
              <w:rPr>
                <w:webHidden/>
              </w:rPr>
            </w:r>
            <w:r w:rsidR="00B06A4A">
              <w:rPr>
                <w:webHidden/>
              </w:rPr>
              <w:fldChar w:fldCharType="separate"/>
            </w:r>
            <w:r w:rsidR="00B06A4A">
              <w:rPr>
                <w:webHidden/>
              </w:rPr>
              <w:t>8</w:t>
            </w:r>
            <w:r w:rsidR="00B06A4A">
              <w:rPr>
                <w:webHidden/>
              </w:rPr>
              <w:fldChar w:fldCharType="end"/>
            </w:r>
          </w:hyperlink>
        </w:p>
        <w:p w14:paraId="00810534" w14:textId="56A144A1" w:rsidR="00B06A4A" w:rsidRDefault="004C765F">
          <w:pPr>
            <w:pStyle w:val="Saturs3"/>
            <w:rPr>
              <w:rFonts w:eastAsiaTheme="minorEastAsia"/>
              <w:b w:val="0"/>
              <w:lang w:bidi="ar-SA"/>
            </w:rPr>
          </w:pPr>
          <w:hyperlink w:anchor="_Toc484770680" w:history="1">
            <w:r w:rsidR="00B06A4A" w:rsidRPr="005054F3">
              <w:rPr>
                <w:rStyle w:val="Hipersaite"/>
                <w:lang w:val="en-US"/>
              </w:rPr>
              <w:t>1.1.9</w:t>
            </w:r>
            <w:r w:rsidR="00B06A4A">
              <w:rPr>
                <w:rFonts w:eastAsiaTheme="minorEastAsia"/>
                <w:b w:val="0"/>
                <w:lang w:bidi="ar-SA"/>
              </w:rPr>
              <w:tab/>
            </w:r>
            <w:r w:rsidR="00B06A4A" w:rsidRPr="005054F3">
              <w:rPr>
                <w:rStyle w:val="Hipersaite"/>
              </w:rPr>
              <w:t>Mērķa „i) vienādu noteikumu izveidošana visiem NETO” novērtēšana</w:t>
            </w:r>
            <w:r w:rsidR="00B06A4A">
              <w:rPr>
                <w:webHidden/>
              </w:rPr>
              <w:tab/>
            </w:r>
            <w:r w:rsidR="00B06A4A">
              <w:rPr>
                <w:webHidden/>
              </w:rPr>
              <w:fldChar w:fldCharType="begin"/>
            </w:r>
            <w:r w:rsidR="00B06A4A">
              <w:rPr>
                <w:webHidden/>
              </w:rPr>
              <w:instrText xml:space="preserve"> PAGEREF _Toc484770680 \h </w:instrText>
            </w:r>
            <w:r w:rsidR="00B06A4A">
              <w:rPr>
                <w:webHidden/>
              </w:rPr>
            </w:r>
            <w:r w:rsidR="00B06A4A">
              <w:rPr>
                <w:webHidden/>
              </w:rPr>
              <w:fldChar w:fldCharType="separate"/>
            </w:r>
            <w:r w:rsidR="00B06A4A">
              <w:rPr>
                <w:webHidden/>
              </w:rPr>
              <w:t>8</w:t>
            </w:r>
            <w:r w:rsidR="00B06A4A">
              <w:rPr>
                <w:webHidden/>
              </w:rPr>
              <w:fldChar w:fldCharType="end"/>
            </w:r>
          </w:hyperlink>
        </w:p>
        <w:p w14:paraId="70B1573B" w14:textId="70219FC2" w:rsidR="00B06A4A" w:rsidRDefault="004C765F">
          <w:pPr>
            <w:pStyle w:val="Saturs3"/>
            <w:rPr>
              <w:rFonts w:eastAsiaTheme="minorEastAsia"/>
              <w:b w:val="0"/>
              <w:lang w:bidi="ar-SA"/>
            </w:rPr>
          </w:pPr>
          <w:hyperlink w:anchor="_Toc484770681" w:history="1">
            <w:r w:rsidR="00B06A4A" w:rsidRPr="005054F3">
              <w:rPr>
                <w:rStyle w:val="Hipersaite"/>
                <w:lang w:val="en-US"/>
              </w:rPr>
              <w:t>1.1.10</w:t>
            </w:r>
            <w:r w:rsidR="00B06A4A">
              <w:rPr>
                <w:rFonts w:eastAsiaTheme="minorEastAsia"/>
                <w:b w:val="0"/>
                <w:lang w:bidi="ar-SA"/>
              </w:rPr>
              <w:tab/>
            </w:r>
            <w:r w:rsidR="00B06A4A" w:rsidRPr="005054F3">
              <w:rPr>
                <w:rStyle w:val="Hipersaite"/>
              </w:rPr>
              <w:t>Mērķa „j) nediskriminējošas piekļuves starpzonu jaudai nodrošināšana” novērtēšana</w:t>
            </w:r>
            <w:r w:rsidR="00B06A4A">
              <w:rPr>
                <w:webHidden/>
              </w:rPr>
              <w:tab/>
            </w:r>
            <w:r w:rsidR="00B06A4A">
              <w:rPr>
                <w:webHidden/>
              </w:rPr>
              <w:fldChar w:fldCharType="begin"/>
            </w:r>
            <w:r w:rsidR="00B06A4A">
              <w:rPr>
                <w:webHidden/>
              </w:rPr>
              <w:instrText xml:space="preserve"> PAGEREF _Toc484770681 \h </w:instrText>
            </w:r>
            <w:r w:rsidR="00B06A4A">
              <w:rPr>
                <w:webHidden/>
              </w:rPr>
            </w:r>
            <w:r w:rsidR="00B06A4A">
              <w:rPr>
                <w:webHidden/>
              </w:rPr>
              <w:fldChar w:fldCharType="separate"/>
            </w:r>
            <w:r w:rsidR="00B06A4A">
              <w:rPr>
                <w:webHidden/>
              </w:rPr>
              <w:t>9</w:t>
            </w:r>
            <w:r w:rsidR="00B06A4A">
              <w:rPr>
                <w:webHidden/>
              </w:rPr>
              <w:fldChar w:fldCharType="end"/>
            </w:r>
          </w:hyperlink>
        </w:p>
        <w:p w14:paraId="5E6C6D3E" w14:textId="05D80B7D" w:rsidR="00B06A4A" w:rsidRDefault="004C765F">
          <w:pPr>
            <w:pStyle w:val="Saturs1"/>
            <w:rPr>
              <w:rFonts w:asciiTheme="minorHAnsi" w:eastAsiaTheme="minorEastAsia" w:hAnsiTheme="minorHAnsi" w:cstheme="minorBidi"/>
              <w:bCs w:val="0"/>
              <w:lang w:bidi="ar-SA"/>
            </w:rPr>
          </w:pPr>
          <w:hyperlink w:anchor="_Toc484770682" w:history="1">
            <w:r w:rsidR="00B06A4A" w:rsidRPr="005054F3">
              <w:rPr>
                <w:rStyle w:val="Hipersaite"/>
              </w:rPr>
              <w:t>2</w:t>
            </w:r>
            <w:r w:rsidR="00B06A4A">
              <w:rPr>
                <w:rFonts w:asciiTheme="minorHAnsi" w:eastAsiaTheme="minorEastAsia" w:hAnsiTheme="minorHAnsi" w:cstheme="minorBidi"/>
                <w:bCs w:val="0"/>
                <w:lang w:bidi="ar-SA"/>
              </w:rPr>
              <w:tab/>
            </w:r>
            <w:r w:rsidR="00B06A4A" w:rsidRPr="005054F3">
              <w:rPr>
                <w:rStyle w:val="Hipersaite"/>
              </w:rPr>
              <w:t>DEFINĪCIJAS</w:t>
            </w:r>
            <w:r w:rsidR="00B06A4A">
              <w:rPr>
                <w:webHidden/>
              </w:rPr>
              <w:tab/>
            </w:r>
            <w:r w:rsidR="00B06A4A">
              <w:rPr>
                <w:webHidden/>
              </w:rPr>
              <w:fldChar w:fldCharType="begin"/>
            </w:r>
            <w:r w:rsidR="00B06A4A">
              <w:rPr>
                <w:webHidden/>
              </w:rPr>
              <w:instrText xml:space="preserve"> PAGEREF _Toc484770682 \h </w:instrText>
            </w:r>
            <w:r w:rsidR="00B06A4A">
              <w:rPr>
                <w:webHidden/>
              </w:rPr>
            </w:r>
            <w:r w:rsidR="00B06A4A">
              <w:rPr>
                <w:webHidden/>
              </w:rPr>
              <w:fldChar w:fldCharType="separate"/>
            </w:r>
            <w:r w:rsidR="00B06A4A">
              <w:rPr>
                <w:webHidden/>
              </w:rPr>
              <w:t>10</w:t>
            </w:r>
            <w:r w:rsidR="00B06A4A">
              <w:rPr>
                <w:webHidden/>
              </w:rPr>
              <w:fldChar w:fldCharType="end"/>
            </w:r>
          </w:hyperlink>
        </w:p>
        <w:p w14:paraId="00A7BDD1" w14:textId="0F40969A" w:rsidR="00B06A4A" w:rsidRDefault="004C765F">
          <w:pPr>
            <w:pStyle w:val="Saturs1"/>
            <w:rPr>
              <w:rFonts w:asciiTheme="minorHAnsi" w:eastAsiaTheme="minorEastAsia" w:hAnsiTheme="minorHAnsi" w:cstheme="minorBidi"/>
              <w:bCs w:val="0"/>
              <w:lang w:bidi="ar-SA"/>
            </w:rPr>
          </w:pPr>
          <w:hyperlink w:anchor="_Toc484770683" w:history="1">
            <w:r w:rsidR="00B06A4A" w:rsidRPr="005054F3">
              <w:rPr>
                <w:rStyle w:val="Hipersaite"/>
              </w:rPr>
              <w:t>3</w:t>
            </w:r>
            <w:r w:rsidR="00B06A4A">
              <w:rPr>
                <w:rFonts w:asciiTheme="minorHAnsi" w:eastAsiaTheme="minorEastAsia" w:hAnsiTheme="minorHAnsi" w:cstheme="minorBidi"/>
                <w:bCs w:val="0"/>
                <w:lang w:bidi="ar-SA"/>
              </w:rPr>
              <w:tab/>
            </w:r>
            <w:r w:rsidR="00B06A4A" w:rsidRPr="005054F3">
              <w:rPr>
                <w:rStyle w:val="Hipersaite"/>
              </w:rPr>
              <w:t>VISPĀRĒJIE NETO SADARBĪBAS PRINCIPI</w:t>
            </w:r>
            <w:r w:rsidR="00B06A4A">
              <w:rPr>
                <w:webHidden/>
              </w:rPr>
              <w:tab/>
            </w:r>
            <w:r w:rsidR="00B06A4A">
              <w:rPr>
                <w:webHidden/>
              </w:rPr>
              <w:fldChar w:fldCharType="begin"/>
            </w:r>
            <w:r w:rsidR="00B06A4A">
              <w:rPr>
                <w:webHidden/>
              </w:rPr>
              <w:instrText xml:space="preserve"> PAGEREF _Toc484770683 \h </w:instrText>
            </w:r>
            <w:r w:rsidR="00B06A4A">
              <w:rPr>
                <w:webHidden/>
              </w:rPr>
            </w:r>
            <w:r w:rsidR="00B06A4A">
              <w:rPr>
                <w:webHidden/>
              </w:rPr>
              <w:fldChar w:fldCharType="separate"/>
            </w:r>
            <w:r w:rsidR="00B06A4A">
              <w:rPr>
                <w:webHidden/>
              </w:rPr>
              <w:t>12</w:t>
            </w:r>
            <w:r w:rsidR="00B06A4A">
              <w:rPr>
                <w:webHidden/>
              </w:rPr>
              <w:fldChar w:fldCharType="end"/>
            </w:r>
          </w:hyperlink>
        </w:p>
        <w:p w14:paraId="3E29A9AE" w14:textId="1CF016E1" w:rsidR="00B06A4A" w:rsidRDefault="004C765F">
          <w:pPr>
            <w:pStyle w:val="Saturs1"/>
            <w:rPr>
              <w:rFonts w:asciiTheme="minorHAnsi" w:eastAsiaTheme="minorEastAsia" w:hAnsiTheme="minorHAnsi" w:cstheme="minorBidi"/>
              <w:bCs w:val="0"/>
              <w:lang w:bidi="ar-SA"/>
            </w:rPr>
          </w:pPr>
          <w:hyperlink w:anchor="_Toc484770684" w:history="1">
            <w:r w:rsidR="00B06A4A" w:rsidRPr="005054F3">
              <w:rPr>
                <w:rStyle w:val="Hipersaite"/>
              </w:rPr>
              <w:t>4</w:t>
            </w:r>
            <w:r w:rsidR="00B06A4A">
              <w:rPr>
                <w:rFonts w:asciiTheme="minorHAnsi" w:eastAsiaTheme="minorEastAsia" w:hAnsiTheme="minorHAnsi" w:cstheme="minorBidi"/>
                <w:bCs w:val="0"/>
                <w:lang w:bidi="ar-SA"/>
              </w:rPr>
              <w:tab/>
            </w:r>
            <w:r w:rsidR="00B06A4A" w:rsidRPr="005054F3">
              <w:rPr>
                <w:rStyle w:val="Hipersaite"/>
              </w:rPr>
              <w:t>VISU NETO KOMITEJA</w:t>
            </w:r>
            <w:r w:rsidR="00B06A4A">
              <w:rPr>
                <w:webHidden/>
              </w:rPr>
              <w:tab/>
            </w:r>
            <w:r w:rsidR="00B06A4A">
              <w:rPr>
                <w:webHidden/>
              </w:rPr>
              <w:fldChar w:fldCharType="begin"/>
            </w:r>
            <w:r w:rsidR="00B06A4A">
              <w:rPr>
                <w:webHidden/>
              </w:rPr>
              <w:instrText xml:space="preserve"> PAGEREF _Toc484770684 \h </w:instrText>
            </w:r>
            <w:r w:rsidR="00B06A4A">
              <w:rPr>
                <w:webHidden/>
              </w:rPr>
            </w:r>
            <w:r w:rsidR="00B06A4A">
              <w:rPr>
                <w:webHidden/>
              </w:rPr>
              <w:fldChar w:fldCharType="separate"/>
            </w:r>
            <w:r w:rsidR="00B06A4A">
              <w:rPr>
                <w:webHidden/>
              </w:rPr>
              <w:t>15</w:t>
            </w:r>
            <w:r w:rsidR="00B06A4A">
              <w:rPr>
                <w:webHidden/>
              </w:rPr>
              <w:fldChar w:fldCharType="end"/>
            </w:r>
          </w:hyperlink>
        </w:p>
        <w:p w14:paraId="5F5F5F3D" w14:textId="68F19F60" w:rsidR="00B06A4A" w:rsidRDefault="004C765F">
          <w:pPr>
            <w:pStyle w:val="Saturs2"/>
            <w:rPr>
              <w:rFonts w:asciiTheme="minorHAnsi" w:eastAsiaTheme="minorEastAsia" w:hAnsiTheme="minorHAnsi" w:cstheme="minorBidi"/>
              <w:b w:val="0"/>
              <w:bCs w:val="0"/>
              <w:lang w:bidi="ar-SA"/>
            </w:rPr>
          </w:pPr>
          <w:hyperlink w:anchor="_Toc484770685" w:history="1">
            <w:r w:rsidR="00B06A4A" w:rsidRPr="005054F3">
              <w:rPr>
                <w:rStyle w:val="Hipersaite"/>
              </w:rPr>
              <w:t>4.1</w:t>
            </w:r>
            <w:r w:rsidR="00B06A4A">
              <w:rPr>
                <w:rFonts w:asciiTheme="minorHAnsi" w:eastAsiaTheme="minorEastAsia" w:hAnsiTheme="minorHAnsi" w:cstheme="minorBidi"/>
                <w:b w:val="0"/>
                <w:bCs w:val="0"/>
                <w:lang w:bidi="ar-SA"/>
              </w:rPr>
              <w:tab/>
            </w:r>
            <w:r w:rsidR="00B06A4A" w:rsidRPr="005054F3">
              <w:rPr>
                <w:rStyle w:val="Hipersaite"/>
              </w:rPr>
              <w:t>Visu NETO sadarbības līgums (VNSL)</w:t>
            </w:r>
            <w:r w:rsidR="00B06A4A">
              <w:rPr>
                <w:webHidden/>
              </w:rPr>
              <w:tab/>
            </w:r>
            <w:r w:rsidR="00B06A4A">
              <w:rPr>
                <w:webHidden/>
              </w:rPr>
              <w:fldChar w:fldCharType="begin"/>
            </w:r>
            <w:r w:rsidR="00B06A4A">
              <w:rPr>
                <w:webHidden/>
              </w:rPr>
              <w:instrText xml:space="preserve"> PAGEREF _Toc484770685 \h </w:instrText>
            </w:r>
            <w:r w:rsidR="00B06A4A">
              <w:rPr>
                <w:webHidden/>
              </w:rPr>
            </w:r>
            <w:r w:rsidR="00B06A4A">
              <w:rPr>
                <w:webHidden/>
              </w:rPr>
              <w:fldChar w:fldCharType="separate"/>
            </w:r>
            <w:r w:rsidR="00B06A4A">
              <w:rPr>
                <w:webHidden/>
              </w:rPr>
              <w:t>15</w:t>
            </w:r>
            <w:r w:rsidR="00B06A4A">
              <w:rPr>
                <w:webHidden/>
              </w:rPr>
              <w:fldChar w:fldCharType="end"/>
            </w:r>
          </w:hyperlink>
        </w:p>
        <w:p w14:paraId="68D58318" w14:textId="4B86814A" w:rsidR="00B06A4A" w:rsidRDefault="004C765F">
          <w:pPr>
            <w:pStyle w:val="Saturs2"/>
            <w:rPr>
              <w:rFonts w:asciiTheme="minorHAnsi" w:eastAsiaTheme="minorEastAsia" w:hAnsiTheme="minorHAnsi" w:cstheme="minorBidi"/>
              <w:b w:val="0"/>
              <w:bCs w:val="0"/>
              <w:lang w:bidi="ar-SA"/>
            </w:rPr>
          </w:pPr>
          <w:hyperlink w:anchor="_Toc484770686" w:history="1">
            <w:r w:rsidR="00B06A4A" w:rsidRPr="005054F3">
              <w:rPr>
                <w:rStyle w:val="Hipersaite"/>
              </w:rPr>
              <w:t>4.2</w:t>
            </w:r>
            <w:r w:rsidR="00B06A4A">
              <w:rPr>
                <w:rFonts w:asciiTheme="minorHAnsi" w:eastAsiaTheme="minorEastAsia" w:hAnsiTheme="minorHAnsi" w:cstheme="minorBidi"/>
                <w:b w:val="0"/>
                <w:bCs w:val="0"/>
                <w:lang w:bidi="ar-SA"/>
              </w:rPr>
              <w:tab/>
            </w:r>
            <w:r w:rsidR="00B06A4A" w:rsidRPr="005054F3">
              <w:rPr>
                <w:rStyle w:val="Hipersaite"/>
              </w:rPr>
              <w:t>Visu NETO komiteja: lomas un atbildība</w:t>
            </w:r>
            <w:r w:rsidR="00B06A4A">
              <w:rPr>
                <w:webHidden/>
              </w:rPr>
              <w:tab/>
            </w:r>
            <w:r w:rsidR="00B06A4A">
              <w:rPr>
                <w:webHidden/>
              </w:rPr>
              <w:fldChar w:fldCharType="begin"/>
            </w:r>
            <w:r w:rsidR="00B06A4A">
              <w:rPr>
                <w:webHidden/>
              </w:rPr>
              <w:instrText xml:space="preserve"> PAGEREF _Toc484770686 \h </w:instrText>
            </w:r>
            <w:r w:rsidR="00B06A4A">
              <w:rPr>
                <w:webHidden/>
              </w:rPr>
            </w:r>
            <w:r w:rsidR="00B06A4A">
              <w:rPr>
                <w:webHidden/>
              </w:rPr>
              <w:fldChar w:fldCharType="separate"/>
            </w:r>
            <w:r w:rsidR="00B06A4A">
              <w:rPr>
                <w:webHidden/>
              </w:rPr>
              <w:t>15</w:t>
            </w:r>
            <w:r w:rsidR="00B06A4A">
              <w:rPr>
                <w:webHidden/>
              </w:rPr>
              <w:fldChar w:fldCharType="end"/>
            </w:r>
          </w:hyperlink>
        </w:p>
        <w:p w14:paraId="62132B0D" w14:textId="37D33652" w:rsidR="00B06A4A" w:rsidRDefault="004C765F">
          <w:pPr>
            <w:pStyle w:val="Saturs1"/>
            <w:rPr>
              <w:rFonts w:asciiTheme="minorHAnsi" w:eastAsiaTheme="minorEastAsia" w:hAnsiTheme="minorHAnsi" w:cstheme="minorBidi"/>
              <w:bCs w:val="0"/>
              <w:lang w:bidi="ar-SA"/>
            </w:rPr>
          </w:pPr>
          <w:hyperlink w:anchor="_Toc484770687" w:history="1">
            <w:r w:rsidR="00B06A4A" w:rsidRPr="005054F3">
              <w:rPr>
                <w:rStyle w:val="Hipersaite"/>
              </w:rPr>
              <w:t>5</w:t>
            </w:r>
            <w:r w:rsidR="00B06A4A">
              <w:rPr>
                <w:rFonts w:asciiTheme="minorHAnsi" w:eastAsiaTheme="minorEastAsia" w:hAnsiTheme="minorHAnsi" w:cstheme="minorBidi"/>
                <w:bCs w:val="0"/>
                <w:lang w:bidi="ar-SA"/>
              </w:rPr>
              <w:tab/>
            </w:r>
            <w:r w:rsidR="00B06A4A" w:rsidRPr="005054F3">
              <w:rPr>
                <w:rStyle w:val="Hipersaite"/>
              </w:rPr>
              <w:t>IEVIEŠANAS GRAFIKS</w:t>
            </w:r>
            <w:r w:rsidR="00B06A4A">
              <w:rPr>
                <w:webHidden/>
              </w:rPr>
              <w:tab/>
            </w:r>
            <w:r w:rsidR="00B06A4A">
              <w:rPr>
                <w:webHidden/>
              </w:rPr>
              <w:fldChar w:fldCharType="begin"/>
            </w:r>
            <w:r w:rsidR="00B06A4A">
              <w:rPr>
                <w:webHidden/>
              </w:rPr>
              <w:instrText xml:space="preserve"> PAGEREF _Toc484770687 \h </w:instrText>
            </w:r>
            <w:r w:rsidR="00B06A4A">
              <w:rPr>
                <w:webHidden/>
              </w:rPr>
            </w:r>
            <w:r w:rsidR="00B06A4A">
              <w:rPr>
                <w:webHidden/>
              </w:rPr>
              <w:fldChar w:fldCharType="separate"/>
            </w:r>
            <w:r w:rsidR="00B06A4A">
              <w:rPr>
                <w:webHidden/>
              </w:rPr>
              <w:t>17</w:t>
            </w:r>
            <w:r w:rsidR="00B06A4A">
              <w:rPr>
                <w:webHidden/>
              </w:rPr>
              <w:fldChar w:fldCharType="end"/>
            </w:r>
          </w:hyperlink>
        </w:p>
        <w:p w14:paraId="14676AD1" w14:textId="2B7D1D30" w:rsidR="00B06A4A" w:rsidRDefault="004C765F">
          <w:pPr>
            <w:pStyle w:val="Saturs2"/>
            <w:rPr>
              <w:rFonts w:asciiTheme="minorHAnsi" w:eastAsiaTheme="minorEastAsia" w:hAnsiTheme="minorHAnsi" w:cstheme="minorBidi"/>
              <w:b w:val="0"/>
              <w:bCs w:val="0"/>
              <w:lang w:bidi="ar-SA"/>
            </w:rPr>
          </w:pPr>
          <w:hyperlink w:anchor="_Toc484770688" w:history="1">
            <w:r w:rsidR="00B06A4A" w:rsidRPr="005054F3">
              <w:rPr>
                <w:rStyle w:val="Hipersaite"/>
              </w:rPr>
              <w:t>5.1</w:t>
            </w:r>
            <w:r w:rsidR="00B06A4A">
              <w:rPr>
                <w:rFonts w:asciiTheme="minorHAnsi" w:eastAsiaTheme="minorEastAsia" w:hAnsiTheme="minorHAnsi" w:cstheme="minorBidi"/>
                <w:b w:val="0"/>
                <w:bCs w:val="0"/>
                <w:lang w:bidi="ar-SA"/>
              </w:rPr>
              <w:tab/>
            </w:r>
            <w:r w:rsidR="00B06A4A" w:rsidRPr="005054F3">
              <w:rPr>
                <w:rStyle w:val="Hipersaite"/>
              </w:rPr>
              <w:t>ND TSO funkcijas ieviešana</w:t>
            </w:r>
            <w:r w:rsidR="00B06A4A">
              <w:rPr>
                <w:webHidden/>
              </w:rPr>
              <w:tab/>
            </w:r>
            <w:r w:rsidR="00B06A4A">
              <w:rPr>
                <w:webHidden/>
              </w:rPr>
              <w:fldChar w:fldCharType="begin"/>
            </w:r>
            <w:r w:rsidR="00B06A4A">
              <w:rPr>
                <w:webHidden/>
              </w:rPr>
              <w:instrText xml:space="preserve"> PAGEREF _Toc484770688 \h </w:instrText>
            </w:r>
            <w:r w:rsidR="00B06A4A">
              <w:rPr>
                <w:webHidden/>
              </w:rPr>
            </w:r>
            <w:r w:rsidR="00B06A4A">
              <w:rPr>
                <w:webHidden/>
              </w:rPr>
              <w:fldChar w:fldCharType="separate"/>
            </w:r>
            <w:r w:rsidR="00B06A4A">
              <w:rPr>
                <w:webHidden/>
              </w:rPr>
              <w:t>17</w:t>
            </w:r>
            <w:r w:rsidR="00B06A4A">
              <w:rPr>
                <w:webHidden/>
              </w:rPr>
              <w:fldChar w:fldCharType="end"/>
            </w:r>
          </w:hyperlink>
        </w:p>
        <w:p w14:paraId="5E798647" w14:textId="72D667C1" w:rsidR="00B06A4A" w:rsidRDefault="004C765F">
          <w:pPr>
            <w:pStyle w:val="Saturs3"/>
            <w:rPr>
              <w:rFonts w:eastAsiaTheme="minorEastAsia"/>
              <w:b w:val="0"/>
              <w:lang w:bidi="ar-SA"/>
            </w:rPr>
          </w:pPr>
          <w:hyperlink w:anchor="_Toc484770689" w:history="1">
            <w:r w:rsidR="00B06A4A" w:rsidRPr="005054F3">
              <w:rPr>
                <w:rStyle w:val="Hipersaite"/>
                <w:lang w:val="en-US"/>
              </w:rPr>
              <w:t>5.1.1</w:t>
            </w:r>
            <w:r w:rsidR="00B06A4A">
              <w:rPr>
                <w:rFonts w:eastAsiaTheme="minorEastAsia"/>
                <w:b w:val="0"/>
                <w:lang w:bidi="ar-SA"/>
              </w:rPr>
              <w:tab/>
            </w:r>
            <w:r w:rsidR="00B06A4A" w:rsidRPr="005054F3">
              <w:rPr>
                <w:rStyle w:val="Hipersaite"/>
              </w:rPr>
              <w:t>CSR risinājuma kā ND TSO funkcijas pieņemšana</w:t>
            </w:r>
            <w:r w:rsidR="00B06A4A">
              <w:rPr>
                <w:webHidden/>
              </w:rPr>
              <w:tab/>
            </w:r>
            <w:r w:rsidR="00B06A4A">
              <w:rPr>
                <w:webHidden/>
              </w:rPr>
              <w:fldChar w:fldCharType="begin"/>
            </w:r>
            <w:r w:rsidR="00B06A4A">
              <w:rPr>
                <w:webHidden/>
              </w:rPr>
              <w:instrText xml:space="preserve"> PAGEREF _Toc484770689 \h </w:instrText>
            </w:r>
            <w:r w:rsidR="00B06A4A">
              <w:rPr>
                <w:webHidden/>
              </w:rPr>
            </w:r>
            <w:r w:rsidR="00B06A4A">
              <w:rPr>
                <w:webHidden/>
              </w:rPr>
              <w:fldChar w:fldCharType="separate"/>
            </w:r>
            <w:r w:rsidR="00B06A4A">
              <w:rPr>
                <w:webHidden/>
              </w:rPr>
              <w:t>17</w:t>
            </w:r>
            <w:r w:rsidR="00B06A4A">
              <w:rPr>
                <w:webHidden/>
              </w:rPr>
              <w:fldChar w:fldCharType="end"/>
            </w:r>
          </w:hyperlink>
        </w:p>
        <w:p w14:paraId="77212E07" w14:textId="61981566" w:rsidR="00B06A4A" w:rsidRDefault="004C765F">
          <w:pPr>
            <w:pStyle w:val="Saturs3"/>
            <w:rPr>
              <w:rFonts w:eastAsiaTheme="minorEastAsia"/>
              <w:b w:val="0"/>
              <w:lang w:bidi="ar-SA"/>
            </w:rPr>
          </w:pPr>
          <w:hyperlink w:anchor="_Toc484770690" w:history="1">
            <w:r w:rsidR="00B06A4A" w:rsidRPr="005054F3">
              <w:rPr>
                <w:rStyle w:val="Hipersaite"/>
                <w:lang w:val="en-US"/>
              </w:rPr>
              <w:t>5.1.2</w:t>
            </w:r>
            <w:r w:rsidR="00B06A4A">
              <w:rPr>
                <w:rFonts w:eastAsiaTheme="minorEastAsia"/>
                <w:b w:val="0"/>
                <w:lang w:bidi="ar-SA"/>
              </w:rPr>
              <w:tab/>
            </w:r>
            <w:r w:rsidR="00B06A4A" w:rsidRPr="005054F3">
              <w:rPr>
                <w:rStyle w:val="Hipersaite"/>
              </w:rPr>
              <w:t>Ar ND TSO funkcijas ieviešanu saistītie līguma posmi</w:t>
            </w:r>
            <w:r w:rsidR="00B06A4A">
              <w:rPr>
                <w:webHidden/>
              </w:rPr>
              <w:tab/>
            </w:r>
            <w:r w:rsidR="00B06A4A">
              <w:rPr>
                <w:webHidden/>
              </w:rPr>
              <w:fldChar w:fldCharType="begin"/>
            </w:r>
            <w:r w:rsidR="00B06A4A">
              <w:rPr>
                <w:webHidden/>
              </w:rPr>
              <w:instrText xml:space="preserve"> PAGEREF _Toc484770690 \h </w:instrText>
            </w:r>
            <w:r w:rsidR="00B06A4A">
              <w:rPr>
                <w:webHidden/>
              </w:rPr>
            </w:r>
            <w:r w:rsidR="00B06A4A">
              <w:rPr>
                <w:webHidden/>
              </w:rPr>
              <w:fldChar w:fldCharType="separate"/>
            </w:r>
            <w:r w:rsidR="00B06A4A">
              <w:rPr>
                <w:webHidden/>
              </w:rPr>
              <w:t>17</w:t>
            </w:r>
            <w:r w:rsidR="00B06A4A">
              <w:rPr>
                <w:webHidden/>
              </w:rPr>
              <w:fldChar w:fldCharType="end"/>
            </w:r>
          </w:hyperlink>
        </w:p>
        <w:p w14:paraId="4EEFB362" w14:textId="41F34C1B" w:rsidR="00B06A4A" w:rsidRDefault="004C765F">
          <w:pPr>
            <w:pStyle w:val="Saturs3"/>
            <w:rPr>
              <w:rFonts w:eastAsiaTheme="minorEastAsia"/>
              <w:b w:val="0"/>
              <w:lang w:bidi="ar-SA"/>
            </w:rPr>
          </w:pPr>
          <w:hyperlink w:anchor="_Toc484770691" w:history="1">
            <w:r w:rsidR="00B06A4A" w:rsidRPr="005054F3">
              <w:rPr>
                <w:rStyle w:val="Hipersaite"/>
                <w:lang w:val="en-US"/>
              </w:rPr>
              <w:t>5.1.3</w:t>
            </w:r>
            <w:r w:rsidR="00B06A4A">
              <w:rPr>
                <w:rFonts w:eastAsiaTheme="minorEastAsia"/>
                <w:b w:val="0"/>
                <w:lang w:bidi="ar-SA"/>
              </w:rPr>
              <w:tab/>
            </w:r>
            <w:r w:rsidR="00B06A4A" w:rsidRPr="005054F3">
              <w:rPr>
                <w:rStyle w:val="Hipersaite"/>
              </w:rPr>
              <w:t>Ar ND TSO funkcijas ieviešanu saistītie tehniskie posmi</w:t>
            </w:r>
            <w:r w:rsidR="00B06A4A">
              <w:rPr>
                <w:webHidden/>
              </w:rPr>
              <w:tab/>
            </w:r>
            <w:r w:rsidR="00B06A4A">
              <w:rPr>
                <w:webHidden/>
              </w:rPr>
              <w:fldChar w:fldCharType="begin"/>
            </w:r>
            <w:r w:rsidR="00B06A4A">
              <w:rPr>
                <w:webHidden/>
              </w:rPr>
              <w:instrText xml:space="preserve"> PAGEREF _Toc484770691 \h </w:instrText>
            </w:r>
            <w:r w:rsidR="00B06A4A">
              <w:rPr>
                <w:webHidden/>
              </w:rPr>
            </w:r>
            <w:r w:rsidR="00B06A4A">
              <w:rPr>
                <w:webHidden/>
              </w:rPr>
              <w:fldChar w:fldCharType="separate"/>
            </w:r>
            <w:r w:rsidR="00B06A4A">
              <w:rPr>
                <w:webHidden/>
              </w:rPr>
              <w:t>18</w:t>
            </w:r>
            <w:r w:rsidR="00B06A4A">
              <w:rPr>
                <w:webHidden/>
              </w:rPr>
              <w:fldChar w:fldCharType="end"/>
            </w:r>
          </w:hyperlink>
        </w:p>
        <w:p w14:paraId="5CC1A5B8" w14:textId="55EEAC6B" w:rsidR="00B06A4A" w:rsidRDefault="004C765F">
          <w:pPr>
            <w:pStyle w:val="Saturs3"/>
            <w:rPr>
              <w:rFonts w:eastAsiaTheme="minorEastAsia"/>
              <w:b w:val="0"/>
              <w:lang w:bidi="ar-SA"/>
            </w:rPr>
          </w:pPr>
          <w:hyperlink w:anchor="_Toc484770692" w:history="1">
            <w:r w:rsidR="00B06A4A" w:rsidRPr="005054F3">
              <w:rPr>
                <w:rStyle w:val="Hipersaite"/>
                <w:lang w:val="en-US"/>
              </w:rPr>
              <w:t>5.1.4</w:t>
            </w:r>
            <w:r w:rsidR="00B06A4A">
              <w:rPr>
                <w:rFonts w:eastAsiaTheme="minorEastAsia"/>
                <w:b w:val="0"/>
                <w:lang w:bidi="ar-SA"/>
              </w:rPr>
              <w:tab/>
            </w:r>
            <w:r w:rsidR="00B06A4A" w:rsidRPr="005054F3">
              <w:rPr>
                <w:rStyle w:val="Hipersaite"/>
              </w:rPr>
              <w:t>Ar ND TSO funkcijas ieviešanu vietējā mērogā saistītie NETO posmi</w:t>
            </w:r>
            <w:r w:rsidR="00B06A4A">
              <w:rPr>
                <w:webHidden/>
              </w:rPr>
              <w:tab/>
            </w:r>
            <w:r w:rsidR="00B06A4A">
              <w:rPr>
                <w:webHidden/>
              </w:rPr>
              <w:fldChar w:fldCharType="begin"/>
            </w:r>
            <w:r w:rsidR="00B06A4A">
              <w:rPr>
                <w:webHidden/>
              </w:rPr>
              <w:instrText xml:space="preserve"> PAGEREF _Toc484770692 \h </w:instrText>
            </w:r>
            <w:r w:rsidR="00B06A4A">
              <w:rPr>
                <w:webHidden/>
              </w:rPr>
            </w:r>
            <w:r w:rsidR="00B06A4A">
              <w:rPr>
                <w:webHidden/>
              </w:rPr>
              <w:fldChar w:fldCharType="separate"/>
            </w:r>
            <w:r w:rsidR="00B06A4A">
              <w:rPr>
                <w:webHidden/>
              </w:rPr>
              <w:t>20</w:t>
            </w:r>
            <w:r w:rsidR="00B06A4A">
              <w:rPr>
                <w:webHidden/>
              </w:rPr>
              <w:fldChar w:fldCharType="end"/>
            </w:r>
          </w:hyperlink>
        </w:p>
        <w:p w14:paraId="0BFF6BFF" w14:textId="0E3EE87D" w:rsidR="00B06A4A" w:rsidRDefault="004C765F">
          <w:pPr>
            <w:pStyle w:val="Saturs2"/>
            <w:rPr>
              <w:rFonts w:asciiTheme="minorHAnsi" w:eastAsiaTheme="minorEastAsia" w:hAnsiTheme="minorHAnsi" w:cstheme="minorBidi"/>
              <w:b w:val="0"/>
              <w:bCs w:val="0"/>
              <w:lang w:bidi="ar-SA"/>
            </w:rPr>
          </w:pPr>
          <w:hyperlink w:anchor="_Toc484770693" w:history="1">
            <w:r w:rsidR="00B06A4A" w:rsidRPr="005054F3">
              <w:rPr>
                <w:rStyle w:val="Hipersaite"/>
              </w:rPr>
              <w:t>5.2</w:t>
            </w:r>
            <w:r w:rsidR="00B06A4A">
              <w:rPr>
                <w:rFonts w:asciiTheme="minorHAnsi" w:eastAsiaTheme="minorEastAsia" w:hAnsiTheme="minorHAnsi" w:cstheme="minorBidi"/>
                <w:b w:val="0"/>
                <w:bCs w:val="0"/>
                <w:lang w:bidi="ar-SA"/>
              </w:rPr>
              <w:tab/>
            </w:r>
            <w:r w:rsidR="00B06A4A" w:rsidRPr="005054F3">
              <w:rPr>
                <w:rStyle w:val="Hipersaite"/>
              </w:rPr>
              <w:t>DTSO funkcijas ieviešana</w:t>
            </w:r>
            <w:r w:rsidR="00B06A4A">
              <w:rPr>
                <w:webHidden/>
              </w:rPr>
              <w:tab/>
            </w:r>
            <w:r w:rsidR="00B06A4A">
              <w:rPr>
                <w:webHidden/>
              </w:rPr>
              <w:fldChar w:fldCharType="begin"/>
            </w:r>
            <w:r w:rsidR="00B06A4A">
              <w:rPr>
                <w:webHidden/>
              </w:rPr>
              <w:instrText xml:space="preserve"> PAGEREF _Toc484770693 \h </w:instrText>
            </w:r>
            <w:r w:rsidR="00B06A4A">
              <w:rPr>
                <w:webHidden/>
              </w:rPr>
            </w:r>
            <w:r w:rsidR="00B06A4A">
              <w:rPr>
                <w:webHidden/>
              </w:rPr>
              <w:fldChar w:fldCharType="separate"/>
            </w:r>
            <w:r w:rsidR="00B06A4A">
              <w:rPr>
                <w:webHidden/>
              </w:rPr>
              <w:t>20</w:t>
            </w:r>
            <w:r w:rsidR="00B06A4A">
              <w:rPr>
                <w:webHidden/>
              </w:rPr>
              <w:fldChar w:fldCharType="end"/>
            </w:r>
          </w:hyperlink>
        </w:p>
        <w:p w14:paraId="60DEDB8B" w14:textId="6DD3B632" w:rsidR="00B06A4A" w:rsidRDefault="004C765F">
          <w:pPr>
            <w:pStyle w:val="Saturs3"/>
            <w:rPr>
              <w:rFonts w:eastAsiaTheme="minorEastAsia"/>
              <w:b w:val="0"/>
              <w:lang w:bidi="ar-SA"/>
            </w:rPr>
          </w:pPr>
          <w:hyperlink w:anchor="_Toc484770694" w:history="1">
            <w:r w:rsidR="00B06A4A" w:rsidRPr="005054F3">
              <w:rPr>
                <w:rStyle w:val="Hipersaite"/>
                <w:lang w:val="en-US"/>
              </w:rPr>
              <w:t>5.2.1</w:t>
            </w:r>
            <w:r w:rsidR="00B06A4A">
              <w:rPr>
                <w:rFonts w:eastAsiaTheme="minorEastAsia"/>
                <w:b w:val="0"/>
                <w:lang w:bidi="ar-SA"/>
              </w:rPr>
              <w:tab/>
            </w:r>
            <w:r w:rsidR="00B06A4A" w:rsidRPr="005054F3">
              <w:rPr>
                <w:rStyle w:val="Hipersaite"/>
              </w:rPr>
              <w:t>SRD risinājuma kā DTSO funkcijas pieņemšana</w:t>
            </w:r>
            <w:r w:rsidR="00B06A4A">
              <w:rPr>
                <w:webHidden/>
              </w:rPr>
              <w:tab/>
            </w:r>
            <w:r w:rsidR="00B06A4A">
              <w:rPr>
                <w:webHidden/>
              </w:rPr>
              <w:fldChar w:fldCharType="begin"/>
            </w:r>
            <w:r w:rsidR="00B06A4A">
              <w:rPr>
                <w:webHidden/>
              </w:rPr>
              <w:instrText xml:space="preserve"> PAGEREF _Toc484770694 \h </w:instrText>
            </w:r>
            <w:r w:rsidR="00B06A4A">
              <w:rPr>
                <w:webHidden/>
              </w:rPr>
            </w:r>
            <w:r w:rsidR="00B06A4A">
              <w:rPr>
                <w:webHidden/>
              </w:rPr>
              <w:fldChar w:fldCharType="separate"/>
            </w:r>
            <w:r w:rsidR="00B06A4A">
              <w:rPr>
                <w:webHidden/>
              </w:rPr>
              <w:t>20</w:t>
            </w:r>
            <w:r w:rsidR="00B06A4A">
              <w:rPr>
                <w:webHidden/>
              </w:rPr>
              <w:fldChar w:fldCharType="end"/>
            </w:r>
          </w:hyperlink>
        </w:p>
        <w:p w14:paraId="60994F64" w14:textId="6E3C7F72" w:rsidR="00B06A4A" w:rsidRDefault="004C765F">
          <w:pPr>
            <w:pStyle w:val="Saturs3"/>
            <w:rPr>
              <w:rFonts w:eastAsiaTheme="minorEastAsia"/>
              <w:b w:val="0"/>
              <w:lang w:bidi="ar-SA"/>
            </w:rPr>
          </w:pPr>
          <w:hyperlink w:anchor="_Toc484770695" w:history="1">
            <w:r w:rsidR="00B06A4A" w:rsidRPr="005054F3">
              <w:rPr>
                <w:rStyle w:val="Hipersaite"/>
                <w:lang w:val="en-US"/>
              </w:rPr>
              <w:t>5.2.2</w:t>
            </w:r>
            <w:r w:rsidR="00B06A4A">
              <w:rPr>
                <w:rFonts w:eastAsiaTheme="minorEastAsia"/>
                <w:b w:val="0"/>
                <w:lang w:bidi="ar-SA"/>
              </w:rPr>
              <w:tab/>
            </w:r>
            <w:r w:rsidR="00B06A4A" w:rsidRPr="005054F3">
              <w:rPr>
                <w:rStyle w:val="Hipersaite"/>
              </w:rPr>
              <w:t>Ar DTSO funkcijas ieviešanu saistītie līguma posmi</w:t>
            </w:r>
            <w:r w:rsidR="00B06A4A">
              <w:rPr>
                <w:webHidden/>
              </w:rPr>
              <w:tab/>
            </w:r>
            <w:r w:rsidR="00B06A4A">
              <w:rPr>
                <w:webHidden/>
              </w:rPr>
              <w:fldChar w:fldCharType="begin"/>
            </w:r>
            <w:r w:rsidR="00B06A4A">
              <w:rPr>
                <w:webHidden/>
              </w:rPr>
              <w:instrText xml:space="preserve"> PAGEREF _Toc484770695 \h </w:instrText>
            </w:r>
            <w:r w:rsidR="00B06A4A">
              <w:rPr>
                <w:webHidden/>
              </w:rPr>
            </w:r>
            <w:r w:rsidR="00B06A4A">
              <w:rPr>
                <w:webHidden/>
              </w:rPr>
              <w:fldChar w:fldCharType="separate"/>
            </w:r>
            <w:r w:rsidR="00B06A4A">
              <w:rPr>
                <w:webHidden/>
              </w:rPr>
              <w:t>21</w:t>
            </w:r>
            <w:r w:rsidR="00B06A4A">
              <w:rPr>
                <w:webHidden/>
              </w:rPr>
              <w:fldChar w:fldCharType="end"/>
            </w:r>
          </w:hyperlink>
        </w:p>
        <w:p w14:paraId="74879EBE" w14:textId="175412AC" w:rsidR="00B06A4A" w:rsidRDefault="004C765F">
          <w:pPr>
            <w:pStyle w:val="Saturs3"/>
            <w:rPr>
              <w:rFonts w:eastAsiaTheme="minorEastAsia"/>
              <w:b w:val="0"/>
              <w:lang w:bidi="ar-SA"/>
            </w:rPr>
          </w:pPr>
          <w:hyperlink w:anchor="_Toc484770696" w:history="1">
            <w:r w:rsidR="00B06A4A" w:rsidRPr="005054F3">
              <w:rPr>
                <w:rStyle w:val="Hipersaite"/>
                <w:lang w:val="en-US"/>
              </w:rPr>
              <w:t>5.2.3</w:t>
            </w:r>
            <w:r w:rsidR="00B06A4A">
              <w:rPr>
                <w:rFonts w:eastAsiaTheme="minorEastAsia"/>
                <w:b w:val="0"/>
                <w:lang w:bidi="ar-SA"/>
              </w:rPr>
              <w:tab/>
            </w:r>
            <w:r w:rsidR="00B06A4A" w:rsidRPr="005054F3">
              <w:rPr>
                <w:rStyle w:val="Hipersaite"/>
              </w:rPr>
              <w:t>Ar DTSO funkcijas ieviešanu saistītie tehniskie posmi</w:t>
            </w:r>
            <w:r w:rsidR="00B06A4A">
              <w:rPr>
                <w:webHidden/>
              </w:rPr>
              <w:tab/>
            </w:r>
            <w:r w:rsidR="00B06A4A">
              <w:rPr>
                <w:webHidden/>
              </w:rPr>
              <w:fldChar w:fldCharType="begin"/>
            </w:r>
            <w:r w:rsidR="00B06A4A">
              <w:rPr>
                <w:webHidden/>
              </w:rPr>
              <w:instrText xml:space="preserve"> PAGEREF _Toc484770696 \h </w:instrText>
            </w:r>
            <w:r w:rsidR="00B06A4A">
              <w:rPr>
                <w:webHidden/>
              </w:rPr>
            </w:r>
            <w:r w:rsidR="00B06A4A">
              <w:rPr>
                <w:webHidden/>
              </w:rPr>
              <w:fldChar w:fldCharType="separate"/>
            </w:r>
            <w:r w:rsidR="00B06A4A">
              <w:rPr>
                <w:webHidden/>
              </w:rPr>
              <w:t>23</w:t>
            </w:r>
            <w:r w:rsidR="00B06A4A">
              <w:rPr>
                <w:webHidden/>
              </w:rPr>
              <w:fldChar w:fldCharType="end"/>
            </w:r>
          </w:hyperlink>
        </w:p>
        <w:p w14:paraId="11E1E30D" w14:textId="0BCE0677" w:rsidR="00B06A4A" w:rsidRDefault="004C765F">
          <w:pPr>
            <w:pStyle w:val="Saturs3"/>
            <w:rPr>
              <w:rFonts w:eastAsiaTheme="minorEastAsia"/>
              <w:b w:val="0"/>
              <w:lang w:bidi="ar-SA"/>
            </w:rPr>
          </w:pPr>
          <w:hyperlink w:anchor="_Toc484770697" w:history="1">
            <w:r w:rsidR="00B06A4A" w:rsidRPr="005054F3">
              <w:rPr>
                <w:rStyle w:val="Hipersaite"/>
                <w:lang w:val="en-US"/>
              </w:rPr>
              <w:t>5.2.4</w:t>
            </w:r>
            <w:r w:rsidR="00B06A4A">
              <w:rPr>
                <w:rFonts w:eastAsiaTheme="minorEastAsia"/>
                <w:b w:val="0"/>
                <w:lang w:bidi="ar-SA"/>
              </w:rPr>
              <w:tab/>
            </w:r>
            <w:r w:rsidR="00B06A4A" w:rsidRPr="005054F3">
              <w:rPr>
                <w:rStyle w:val="Hipersaite"/>
              </w:rPr>
              <w:t>Ar DTSO funkcijas ieviešanu vietējā mērogā saistītie NETO posmi</w:t>
            </w:r>
            <w:r w:rsidR="00B06A4A">
              <w:rPr>
                <w:webHidden/>
              </w:rPr>
              <w:tab/>
            </w:r>
            <w:r w:rsidR="00B06A4A">
              <w:rPr>
                <w:webHidden/>
              </w:rPr>
              <w:fldChar w:fldCharType="begin"/>
            </w:r>
            <w:r w:rsidR="00B06A4A">
              <w:rPr>
                <w:webHidden/>
              </w:rPr>
              <w:instrText xml:space="preserve"> PAGEREF _Toc484770697 \h </w:instrText>
            </w:r>
            <w:r w:rsidR="00B06A4A">
              <w:rPr>
                <w:webHidden/>
              </w:rPr>
            </w:r>
            <w:r w:rsidR="00B06A4A">
              <w:rPr>
                <w:webHidden/>
              </w:rPr>
              <w:fldChar w:fldCharType="separate"/>
            </w:r>
            <w:r w:rsidR="00B06A4A">
              <w:rPr>
                <w:webHidden/>
              </w:rPr>
              <w:t>25</w:t>
            </w:r>
            <w:r w:rsidR="00B06A4A">
              <w:rPr>
                <w:webHidden/>
              </w:rPr>
              <w:fldChar w:fldCharType="end"/>
            </w:r>
          </w:hyperlink>
        </w:p>
        <w:p w14:paraId="21D01F4C" w14:textId="19E89079" w:rsidR="00B06A4A" w:rsidRDefault="004C765F">
          <w:pPr>
            <w:pStyle w:val="Saturs1"/>
            <w:rPr>
              <w:rFonts w:asciiTheme="minorHAnsi" w:eastAsiaTheme="minorEastAsia" w:hAnsiTheme="minorHAnsi" w:cstheme="minorBidi"/>
              <w:bCs w:val="0"/>
              <w:lang w:bidi="ar-SA"/>
            </w:rPr>
          </w:pPr>
          <w:hyperlink w:anchor="_Toc484770698" w:history="1">
            <w:r w:rsidR="00B06A4A" w:rsidRPr="005054F3">
              <w:rPr>
                <w:rStyle w:val="Hipersaite"/>
              </w:rPr>
              <w:t>6</w:t>
            </w:r>
            <w:r w:rsidR="00B06A4A">
              <w:rPr>
                <w:rFonts w:asciiTheme="minorHAnsi" w:eastAsiaTheme="minorEastAsia" w:hAnsiTheme="minorHAnsi" w:cstheme="minorBidi"/>
                <w:bCs w:val="0"/>
                <w:lang w:bidi="ar-SA"/>
              </w:rPr>
              <w:tab/>
            </w:r>
            <w:r w:rsidR="00B06A4A" w:rsidRPr="005054F3">
              <w:rPr>
                <w:rStyle w:val="Hipersaite"/>
              </w:rPr>
              <w:t>SADARBĪBA NĀKAMĀS DIENAS TIRGŪ</w:t>
            </w:r>
            <w:r w:rsidR="00B06A4A">
              <w:rPr>
                <w:webHidden/>
              </w:rPr>
              <w:tab/>
            </w:r>
            <w:r w:rsidR="00B06A4A">
              <w:rPr>
                <w:webHidden/>
              </w:rPr>
              <w:fldChar w:fldCharType="begin"/>
            </w:r>
            <w:r w:rsidR="00B06A4A">
              <w:rPr>
                <w:webHidden/>
              </w:rPr>
              <w:instrText xml:space="preserve"> PAGEREF _Toc484770698 \h </w:instrText>
            </w:r>
            <w:r w:rsidR="00B06A4A">
              <w:rPr>
                <w:webHidden/>
              </w:rPr>
            </w:r>
            <w:r w:rsidR="00B06A4A">
              <w:rPr>
                <w:webHidden/>
              </w:rPr>
              <w:fldChar w:fldCharType="separate"/>
            </w:r>
            <w:r w:rsidR="00B06A4A">
              <w:rPr>
                <w:webHidden/>
              </w:rPr>
              <w:t>26</w:t>
            </w:r>
            <w:r w:rsidR="00B06A4A">
              <w:rPr>
                <w:webHidden/>
              </w:rPr>
              <w:fldChar w:fldCharType="end"/>
            </w:r>
          </w:hyperlink>
        </w:p>
        <w:p w14:paraId="484D7B94" w14:textId="2B6FFD79" w:rsidR="00B06A4A" w:rsidRDefault="004C765F">
          <w:pPr>
            <w:pStyle w:val="Saturs2"/>
            <w:rPr>
              <w:rFonts w:asciiTheme="minorHAnsi" w:eastAsiaTheme="minorEastAsia" w:hAnsiTheme="minorHAnsi" w:cstheme="minorBidi"/>
              <w:b w:val="0"/>
              <w:bCs w:val="0"/>
              <w:lang w:bidi="ar-SA"/>
            </w:rPr>
          </w:pPr>
          <w:hyperlink w:anchor="_Toc484770699" w:history="1">
            <w:r w:rsidR="00B06A4A" w:rsidRPr="005054F3">
              <w:rPr>
                <w:rStyle w:val="Hipersaite"/>
              </w:rPr>
              <w:t>6.1</w:t>
            </w:r>
            <w:r w:rsidR="00B06A4A">
              <w:rPr>
                <w:rFonts w:asciiTheme="minorHAnsi" w:eastAsiaTheme="minorEastAsia" w:hAnsiTheme="minorHAnsi" w:cstheme="minorBidi"/>
                <w:b w:val="0"/>
                <w:bCs w:val="0"/>
                <w:lang w:bidi="ar-SA"/>
              </w:rPr>
              <w:tab/>
            </w:r>
            <w:r w:rsidR="00B06A4A" w:rsidRPr="005054F3">
              <w:rPr>
                <w:rStyle w:val="Hipersaite"/>
              </w:rPr>
              <w:t>ND TSO funkcijas apraksts</w:t>
            </w:r>
            <w:r w:rsidR="00B06A4A">
              <w:rPr>
                <w:webHidden/>
              </w:rPr>
              <w:tab/>
            </w:r>
            <w:r w:rsidR="00B06A4A">
              <w:rPr>
                <w:webHidden/>
              </w:rPr>
              <w:fldChar w:fldCharType="begin"/>
            </w:r>
            <w:r w:rsidR="00B06A4A">
              <w:rPr>
                <w:webHidden/>
              </w:rPr>
              <w:instrText xml:space="preserve"> PAGEREF _Toc484770699 \h </w:instrText>
            </w:r>
            <w:r w:rsidR="00B06A4A">
              <w:rPr>
                <w:webHidden/>
              </w:rPr>
            </w:r>
            <w:r w:rsidR="00B06A4A">
              <w:rPr>
                <w:webHidden/>
              </w:rPr>
              <w:fldChar w:fldCharType="separate"/>
            </w:r>
            <w:r w:rsidR="00B06A4A">
              <w:rPr>
                <w:webHidden/>
              </w:rPr>
              <w:t>26</w:t>
            </w:r>
            <w:r w:rsidR="00B06A4A">
              <w:rPr>
                <w:webHidden/>
              </w:rPr>
              <w:fldChar w:fldCharType="end"/>
            </w:r>
          </w:hyperlink>
        </w:p>
        <w:p w14:paraId="5F8AB5DB" w14:textId="264515BB" w:rsidR="00B06A4A" w:rsidRDefault="004C765F">
          <w:pPr>
            <w:pStyle w:val="Saturs3"/>
            <w:rPr>
              <w:rFonts w:eastAsiaTheme="minorEastAsia"/>
              <w:b w:val="0"/>
              <w:lang w:bidi="ar-SA"/>
            </w:rPr>
          </w:pPr>
          <w:hyperlink w:anchor="_Toc484770700" w:history="1">
            <w:r w:rsidR="00B06A4A" w:rsidRPr="005054F3">
              <w:rPr>
                <w:rStyle w:val="Hipersaite"/>
                <w:lang w:val="en-US"/>
              </w:rPr>
              <w:t>6.1.1</w:t>
            </w:r>
            <w:r w:rsidR="00B06A4A">
              <w:rPr>
                <w:rFonts w:eastAsiaTheme="minorEastAsia"/>
                <w:b w:val="0"/>
                <w:lang w:bidi="ar-SA"/>
              </w:rPr>
              <w:tab/>
            </w:r>
            <w:r w:rsidR="00B06A4A" w:rsidRPr="005054F3">
              <w:rPr>
                <w:rStyle w:val="Hipersaite"/>
              </w:rPr>
              <w:t>Darbība</w:t>
            </w:r>
            <w:r w:rsidR="00B06A4A">
              <w:rPr>
                <w:webHidden/>
              </w:rPr>
              <w:tab/>
            </w:r>
            <w:r w:rsidR="00B06A4A">
              <w:rPr>
                <w:webHidden/>
              </w:rPr>
              <w:fldChar w:fldCharType="begin"/>
            </w:r>
            <w:r w:rsidR="00B06A4A">
              <w:rPr>
                <w:webHidden/>
              </w:rPr>
              <w:instrText xml:space="preserve"> PAGEREF _Toc484770700 \h </w:instrText>
            </w:r>
            <w:r w:rsidR="00B06A4A">
              <w:rPr>
                <w:webHidden/>
              </w:rPr>
            </w:r>
            <w:r w:rsidR="00B06A4A">
              <w:rPr>
                <w:webHidden/>
              </w:rPr>
              <w:fldChar w:fldCharType="separate"/>
            </w:r>
            <w:r w:rsidR="00B06A4A">
              <w:rPr>
                <w:webHidden/>
              </w:rPr>
              <w:t>26</w:t>
            </w:r>
            <w:r w:rsidR="00B06A4A">
              <w:rPr>
                <w:webHidden/>
              </w:rPr>
              <w:fldChar w:fldCharType="end"/>
            </w:r>
          </w:hyperlink>
        </w:p>
        <w:p w14:paraId="676F6B46" w14:textId="79E652AF" w:rsidR="00B06A4A" w:rsidRDefault="004C765F">
          <w:pPr>
            <w:pStyle w:val="Saturs3"/>
            <w:rPr>
              <w:rFonts w:eastAsiaTheme="minorEastAsia"/>
              <w:b w:val="0"/>
              <w:lang w:bidi="ar-SA"/>
            </w:rPr>
          </w:pPr>
          <w:hyperlink w:anchor="_Toc484770701" w:history="1">
            <w:r w:rsidR="00B06A4A" w:rsidRPr="005054F3">
              <w:rPr>
                <w:rStyle w:val="Hipersaite"/>
                <w:lang w:val="en-US"/>
              </w:rPr>
              <w:t>6.1.2</w:t>
            </w:r>
            <w:r w:rsidR="00B06A4A">
              <w:rPr>
                <w:rFonts w:eastAsiaTheme="minorEastAsia"/>
                <w:b w:val="0"/>
                <w:lang w:bidi="ar-SA"/>
              </w:rPr>
              <w:tab/>
            </w:r>
            <w:r w:rsidR="00B06A4A" w:rsidRPr="005054F3">
              <w:rPr>
                <w:rStyle w:val="Hipersaite"/>
              </w:rPr>
              <w:t>NETO operatīvās lomas</w:t>
            </w:r>
            <w:r w:rsidR="00B06A4A">
              <w:rPr>
                <w:webHidden/>
              </w:rPr>
              <w:tab/>
            </w:r>
            <w:r w:rsidR="00B06A4A">
              <w:rPr>
                <w:webHidden/>
              </w:rPr>
              <w:fldChar w:fldCharType="begin"/>
            </w:r>
            <w:r w:rsidR="00B06A4A">
              <w:rPr>
                <w:webHidden/>
              </w:rPr>
              <w:instrText xml:space="preserve"> PAGEREF _Toc484770701 \h </w:instrText>
            </w:r>
            <w:r w:rsidR="00B06A4A">
              <w:rPr>
                <w:webHidden/>
              </w:rPr>
            </w:r>
            <w:r w:rsidR="00B06A4A">
              <w:rPr>
                <w:webHidden/>
              </w:rPr>
              <w:fldChar w:fldCharType="separate"/>
            </w:r>
            <w:r w:rsidR="00B06A4A">
              <w:rPr>
                <w:webHidden/>
              </w:rPr>
              <w:t>26</w:t>
            </w:r>
            <w:r w:rsidR="00B06A4A">
              <w:rPr>
                <w:webHidden/>
              </w:rPr>
              <w:fldChar w:fldCharType="end"/>
            </w:r>
          </w:hyperlink>
        </w:p>
        <w:p w14:paraId="387338AB" w14:textId="659C9334" w:rsidR="00B06A4A" w:rsidRDefault="004C765F">
          <w:pPr>
            <w:pStyle w:val="Saturs3"/>
            <w:rPr>
              <w:rFonts w:eastAsiaTheme="minorEastAsia"/>
              <w:b w:val="0"/>
              <w:lang w:bidi="ar-SA"/>
            </w:rPr>
          </w:pPr>
          <w:hyperlink w:anchor="_Toc484770702" w:history="1">
            <w:r w:rsidR="00B06A4A" w:rsidRPr="005054F3">
              <w:rPr>
                <w:rStyle w:val="Hipersaite"/>
                <w:lang w:val="en-US"/>
              </w:rPr>
              <w:t>6.1.3</w:t>
            </w:r>
            <w:r w:rsidR="00B06A4A">
              <w:rPr>
                <w:rFonts w:eastAsiaTheme="minorEastAsia"/>
                <w:b w:val="0"/>
                <w:lang w:bidi="ar-SA"/>
              </w:rPr>
              <w:tab/>
            </w:r>
            <w:r w:rsidR="00B06A4A" w:rsidRPr="005054F3">
              <w:rPr>
                <w:rStyle w:val="Hipersaite"/>
              </w:rPr>
              <w:t>Darbību secība tirgus sasaistes sesijā</w:t>
            </w:r>
            <w:r w:rsidR="00B06A4A">
              <w:rPr>
                <w:webHidden/>
              </w:rPr>
              <w:tab/>
            </w:r>
            <w:r w:rsidR="00B06A4A">
              <w:rPr>
                <w:webHidden/>
              </w:rPr>
              <w:fldChar w:fldCharType="begin"/>
            </w:r>
            <w:r w:rsidR="00B06A4A">
              <w:rPr>
                <w:webHidden/>
              </w:rPr>
              <w:instrText xml:space="preserve"> PAGEREF _Toc484770702 \h </w:instrText>
            </w:r>
            <w:r w:rsidR="00B06A4A">
              <w:rPr>
                <w:webHidden/>
              </w:rPr>
            </w:r>
            <w:r w:rsidR="00B06A4A">
              <w:rPr>
                <w:webHidden/>
              </w:rPr>
              <w:fldChar w:fldCharType="separate"/>
            </w:r>
            <w:r w:rsidR="00B06A4A">
              <w:rPr>
                <w:webHidden/>
              </w:rPr>
              <w:t>28</w:t>
            </w:r>
            <w:r w:rsidR="00B06A4A">
              <w:rPr>
                <w:webHidden/>
              </w:rPr>
              <w:fldChar w:fldCharType="end"/>
            </w:r>
          </w:hyperlink>
        </w:p>
        <w:p w14:paraId="3751C29A" w14:textId="726D3C07" w:rsidR="00B06A4A" w:rsidRDefault="004C765F">
          <w:pPr>
            <w:pStyle w:val="Saturs3"/>
            <w:rPr>
              <w:rFonts w:eastAsiaTheme="minorEastAsia"/>
              <w:b w:val="0"/>
              <w:lang w:bidi="ar-SA"/>
            </w:rPr>
          </w:pPr>
          <w:hyperlink w:anchor="_Toc484770703" w:history="1">
            <w:r w:rsidR="00B06A4A" w:rsidRPr="005054F3">
              <w:rPr>
                <w:rStyle w:val="Hipersaite"/>
                <w:lang w:val="en-US"/>
              </w:rPr>
              <w:t>6.1.4</w:t>
            </w:r>
            <w:r w:rsidR="00B06A4A">
              <w:rPr>
                <w:rFonts w:eastAsiaTheme="minorEastAsia"/>
                <w:b w:val="0"/>
                <w:lang w:bidi="ar-SA"/>
              </w:rPr>
              <w:tab/>
            </w:r>
            <w:r w:rsidR="00B06A4A" w:rsidRPr="005054F3">
              <w:rPr>
                <w:rStyle w:val="Hipersaite"/>
              </w:rPr>
              <w:t>Nākamās dienas tirgus sasaistes sesijas rezultātu apstiprināšana</w:t>
            </w:r>
            <w:r w:rsidR="00B06A4A">
              <w:rPr>
                <w:webHidden/>
              </w:rPr>
              <w:tab/>
            </w:r>
            <w:r w:rsidR="00B06A4A">
              <w:rPr>
                <w:webHidden/>
              </w:rPr>
              <w:fldChar w:fldCharType="begin"/>
            </w:r>
            <w:r w:rsidR="00B06A4A">
              <w:rPr>
                <w:webHidden/>
              </w:rPr>
              <w:instrText xml:space="preserve"> PAGEREF _Toc484770703 \h </w:instrText>
            </w:r>
            <w:r w:rsidR="00B06A4A">
              <w:rPr>
                <w:webHidden/>
              </w:rPr>
            </w:r>
            <w:r w:rsidR="00B06A4A">
              <w:rPr>
                <w:webHidden/>
              </w:rPr>
              <w:fldChar w:fldCharType="separate"/>
            </w:r>
            <w:r w:rsidR="00B06A4A">
              <w:rPr>
                <w:webHidden/>
              </w:rPr>
              <w:t>29</w:t>
            </w:r>
            <w:r w:rsidR="00B06A4A">
              <w:rPr>
                <w:webHidden/>
              </w:rPr>
              <w:fldChar w:fldCharType="end"/>
            </w:r>
          </w:hyperlink>
        </w:p>
        <w:p w14:paraId="56A3568D" w14:textId="5FB97203" w:rsidR="00B06A4A" w:rsidRDefault="004C765F">
          <w:pPr>
            <w:pStyle w:val="Saturs2"/>
            <w:rPr>
              <w:rFonts w:asciiTheme="minorHAnsi" w:eastAsiaTheme="minorEastAsia" w:hAnsiTheme="minorHAnsi" w:cstheme="minorBidi"/>
              <w:b w:val="0"/>
              <w:bCs w:val="0"/>
              <w:lang w:bidi="ar-SA"/>
            </w:rPr>
          </w:pPr>
          <w:hyperlink w:anchor="_Toc484770704" w:history="1">
            <w:r w:rsidR="00B06A4A" w:rsidRPr="005054F3">
              <w:rPr>
                <w:rStyle w:val="Hipersaite"/>
              </w:rPr>
              <w:t>6.2</w:t>
            </w:r>
            <w:r w:rsidR="00B06A4A">
              <w:rPr>
                <w:rFonts w:asciiTheme="minorHAnsi" w:eastAsiaTheme="minorEastAsia" w:hAnsiTheme="minorHAnsi" w:cstheme="minorBidi"/>
                <w:b w:val="0"/>
                <w:bCs w:val="0"/>
                <w:lang w:bidi="ar-SA"/>
              </w:rPr>
              <w:tab/>
            </w:r>
            <w:r w:rsidR="00B06A4A" w:rsidRPr="005054F3">
              <w:rPr>
                <w:rStyle w:val="Hipersaite"/>
              </w:rPr>
              <w:t>ND TSO funkcijas sistēmas</w:t>
            </w:r>
            <w:r w:rsidR="00B06A4A">
              <w:rPr>
                <w:webHidden/>
              </w:rPr>
              <w:tab/>
            </w:r>
            <w:r w:rsidR="00B06A4A">
              <w:rPr>
                <w:webHidden/>
              </w:rPr>
              <w:fldChar w:fldCharType="begin"/>
            </w:r>
            <w:r w:rsidR="00B06A4A">
              <w:rPr>
                <w:webHidden/>
              </w:rPr>
              <w:instrText xml:space="preserve"> PAGEREF _Toc484770704 \h </w:instrText>
            </w:r>
            <w:r w:rsidR="00B06A4A">
              <w:rPr>
                <w:webHidden/>
              </w:rPr>
            </w:r>
            <w:r w:rsidR="00B06A4A">
              <w:rPr>
                <w:webHidden/>
              </w:rPr>
              <w:fldChar w:fldCharType="separate"/>
            </w:r>
            <w:r w:rsidR="00B06A4A">
              <w:rPr>
                <w:webHidden/>
              </w:rPr>
              <w:t>29</w:t>
            </w:r>
            <w:r w:rsidR="00B06A4A">
              <w:rPr>
                <w:webHidden/>
              </w:rPr>
              <w:fldChar w:fldCharType="end"/>
            </w:r>
          </w:hyperlink>
        </w:p>
        <w:p w14:paraId="533C396F" w14:textId="494DA691" w:rsidR="00B06A4A" w:rsidRDefault="004C765F">
          <w:pPr>
            <w:pStyle w:val="Saturs3"/>
            <w:rPr>
              <w:rFonts w:eastAsiaTheme="minorEastAsia"/>
              <w:b w:val="0"/>
              <w:lang w:bidi="ar-SA"/>
            </w:rPr>
          </w:pPr>
          <w:hyperlink w:anchor="_Toc484770705" w:history="1">
            <w:r w:rsidR="00B06A4A" w:rsidRPr="005054F3">
              <w:rPr>
                <w:rStyle w:val="Hipersaite"/>
                <w:lang w:val="en-US"/>
              </w:rPr>
              <w:t>6.2.1</w:t>
            </w:r>
            <w:r w:rsidR="00B06A4A">
              <w:rPr>
                <w:rFonts w:eastAsiaTheme="minorEastAsia"/>
                <w:b w:val="0"/>
                <w:lang w:bidi="ar-SA"/>
              </w:rPr>
              <w:tab/>
            </w:r>
            <w:r w:rsidR="00B06A4A" w:rsidRPr="005054F3">
              <w:rPr>
                <w:rStyle w:val="Hipersaite"/>
              </w:rPr>
              <w:t>Izmaiņu kontroles procedūra</w:t>
            </w:r>
            <w:r w:rsidR="00B06A4A">
              <w:rPr>
                <w:webHidden/>
              </w:rPr>
              <w:tab/>
            </w:r>
            <w:r w:rsidR="00B06A4A">
              <w:rPr>
                <w:webHidden/>
              </w:rPr>
              <w:fldChar w:fldCharType="begin"/>
            </w:r>
            <w:r w:rsidR="00B06A4A">
              <w:rPr>
                <w:webHidden/>
              </w:rPr>
              <w:instrText xml:space="preserve"> PAGEREF _Toc484770705 \h </w:instrText>
            </w:r>
            <w:r w:rsidR="00B06A4A">
              <w:rPr>
                <w:webHidden/>
              </w:rPr>
            </w:r>
            <w:r w:rsidR="00B06A4A">
              <w:rPr>
                <w:webHidden/>
              </w:rPr>
              <w:fldChar w:fldCharType="separate"/>
            </w:r>
            <w:r w:rsidR="00B06A4A">
              <w:rPr>
                <w:webHidden/>
              </w:rPr>
              <w:t>30</w:t>
            </w:r>
            <w:r w:rsidR="00B06A4A">
              <w:rPr>
                <w:webHidden/>
              </w:rPr>
              <w:fldChar w:fldCharType="end"/>
            </w:r>
          </w:hyperlink>
        </w:p>
        <w:p w14:paraId="48744BD6" w14:textId="1C3A910E" w:rsidR="00B06A4A" w:rsidRDefault="004C765F">
          <w:pPr>
            <w:pStyle w:val="Saturs1"/>
            <w:rPr>
              <w:rFonts w:asciiTheme="minorHAnsi" w:eastAsiaTheme="minorEastAsia" w:hAnsiTheme="minorHAnsi" w:cstheme="minorBidi"/>
              <w:bCs w:val="0"/>
              <w:lang w:bidi="ar-SA"/>
            </w:rPr>
          </w:pPr>
          <w:hyperlink w:anchor="_Toc484770706" w:history="1">
            <w:r w:rsidR="00B06A4A" w:rsidRPr="005054F3">
              <w:rPr>
                <w:rStyle w:val="Hipersaite"/>
              </w:rPr>
              <w:t>7</w:t>
            </w:r>
            <w:r w:rsidR="00B06A4A">
              <w:rPr>
                <w:rFonts w:asciiTheme="minorHAnsi" w:eastAsiaTheme="minorEastAsia" w:hAnsiTheme="minorHAnsi" w:cstheme="minorBidi"/>
                <w:bCs w:val="0"/>
                <w:lang w:bidi="ar-SA"/>
              </w:rPr>
              <w:tab/>
            </w:r>
            <w:r w:rsidR="00B06A4A" w:rsidRPr="005054F3">
              <w:rPr>
                <w:rStyle w:val="Hipersaite"/>
              </w:rPr>
              <w:t>SADARBĪBA DIENNAKTS TIRGŪ</w:t>
            </w:r>
            <w:r w:rsidR="00B06A4A">
              <w:rPr>
                <w:webHidden/>
              </w:rPr>
              <w:tab/>
            </w:r>
            <w:r w:rsidR="00B06A4A">
              <w:rPr>
                <w:webHidden/>
              </w:rPr>
              <w:fldChar w:fldCharType="begin"/>
            </w:r>
            <w:r w:rsidR="00B06A4A">
              <w:rPr>
                <w:webHidden/>
              </w:rPr>
              <w:instrText xml:space="preserve"> PAGEREF _Toc484770706 \h </w:instrText>
            </w:r>
            <w:r w:rsidR="00B06A4A">
              <w:rPr>
                <w:webHidden/>
              </w:rPr>
            </w:r>
            <w:r w:rsidR="00B06A4A">
              <w:rPr>
                <w:webHidden/>
              </w:rPr>
              <w:fldChar w:fldCharType="separate"/>
            </w:r>
            <w:r w:rsidR="00B06A4A">
              <w:rPr>
                <w:webHidden/>
              </w:rPr>
              <w:t>31</w:t>
            </w:r>
            <w:r w:rsidR="00B06A4A">
              <w:rPr>
                <w:webHidden/>
              </w:rPr>
              <w:fldChar w:fldCharType="end"/>
            </w:r>
          </w:hyperlink>
        </w:p>
        <w:p w14:paraId="308E3BE4" w14:textId="2B29CE86" w:rsidR="00B06A4A" w:rsidRDefault="004C765F">
          <w:pPr>
            <w:pStyle w:val="Saturs2"/>
            <w:rPr>
              <w:rFonts w:asciiTheme="minorHAnsi" w:eastAsiaTheme="minorEastAsia" w:hAnsiTheme="minorHAnsi" w:cstheme="minorBidi"/>
              <w:b w:val="0"/>
              <w:bCs w:val="0"/>
              <w:lang w:bidi="ar-SA"/>
            </w:rPr>
          </w:pPr>
          <w:hyperlink w:anchor="_Toc484770707" w:history="1">
            <w:r w:rsidR="00B06A4A" w:rsidRPr="005054F3">
              <w:rPr>
                <w:rStyle w:val="Hipersaite"/>
              </w:rPr>
              <w:t>7.1</w:t>
            </w:r>
            <w:r w:rsidR="00B06A4A">
              <w:rPr>
                <w:rFonts w:asciiTheme="minorHAnsi" w:eastAsiaTheme="minorEastAsia" w:hAnsiTheme="minorHAnsi" w:cstheme="minorBidi"/>
                <w:b w:val="0"/>
                <w:bCs w:val="0"/>
                <w:lang w:bidi="ar-SA"/>
              </w:rPr>
              <w:tab/>
            </w:r>
            <w:r w:rsidR="00B06A4A" w:rsidRPr="005054F3">
              <w:rPr>
                <w:rStyle w:val="Hipersaite"/>
              </w:rPr>
              <w:t>DTSO funkcijas izpilde</w:t>
            </w:r>
            <w:r w:rsidR="00B06A4A">
              <w:rPr>
                <w:webHidden/>
              </w:rPr>
              <w:tab/>
            </w:r>
            <w:r w:rsidR="00B06A4A">
              <w:rPr>
                <w:webHidden/>
              </w:rPr>
              <w:fldChar w:fldCharType="begin"/>
            </w:r>
            <w:r w:rsidR="00B06A4A">
              <w:rPr>
                <w:webHidden/>
              </w:rPr>
              <w:instrText xml:space="preserve"> PAGEREF _Toc484770707 \h </w:instrText>
            </w:r>
            <w:r w:rsidR="00B06A4A">
              <w:rPr>
                <w:webHidden/>
              </w:rPr>
            </w:r>
            <w:r w:rsidR="00B06A4A">
              <w:rPr>
                <w:webHidden/>
              </w:rPr>
              <w:fldChar w:fldCharType="separate"/>
            </w:r>
            <w:r w:rsidR="00B06A4A">
              <w:rPr>
                <w:webHidden/>
              </w:rPr>
              <w:t>31</w:t>
            </w:r>
            <w:r w:rsidR="00B06A4A">
              <w:rPr>
                <w:webHidden/>
              </w:rPr>
              <w:fldChar w:fldCharType="end"/>
            </w:r>
          </w:hyperlink>
        </w:p>
        <w:p w14:paraId="5B9C69ED" w14:textId="768F6E67" w:rsidR="00B06A4A" w:rsidRDefault="004C765F">
          <w:pPr>
            <w:pStyle w:val="Saturs3"/>
            <w:rPr>
              <w:rFonts w:eastAsiaTheme="minorEastAsia"/>
              <w:b w:val="0"/>
              <w:lang w:bidi="ar-SA"/>
            </w:rPr>
          </w:pPr>
          <w:hyperlink w:anchor="_Toc484770708" w:history="1">
            <w:r w:rsidR="00B06A4A" w:rsidRPr="005054F3">
              <w:rPr>
                <w:rStyle w:val="Hipersaite"/>
                <w:lang w:val="en-US"/>
              </w:rPr>
              <w:t>7.1.1</w:t>
            </w:r>
            <w:r w:rsidR="00B06A4A">
              <w:rPr>
                <w:rFonts w:eastAsiaTheme="minorEastAsia"/>
                <w:b w:val="0"/>
                <w:lang w:bidi="ar-SA"/>
              </w:rPr>
              <w:tab/>
            </w:r>
            <w:r w:rsidR="00B06A4A" w:rsidRPr="005054F3">
              <w:rPr>
                <w:rStyle w:val="Hipersaite"/>
              </w:rPr>
              <w:t>DTSO funkcijas izpildes nodrošināšana</w:t>
            </w:r>
            <w:r w:rsidR="00B06A4A">
              <w:rPr>
                <w:webHidden/>
              </w:rPr>
              <w:tab/>
            </w:r>
            <w:r w:rsidR="00B06A4A">
              <w:rPr>
                <w:webHidden/>
              </w:rPr>
              <w:fldChar w:fldCharType="begin"/>
            </w:r>
            <w:r w:rsidR="00B06A4A">
              <w:rPr>
                <w:webHidden/>
              </w:rPr>
              <w:instrText xml:space="preserve"> PAGEREF _Toc484770708 \h </w:instrText>
            </w:r>
            <w:r w:rsidR="00B06A4A">
              <w:rPr>
                <w:webHidden/>
              </w:rPr>
            </w:r>
            <w:r w:rsidR="00B06A4A">
              <w:rPr>
                <w:webHidden/>
              </w:rPr>
              <w:fldChar w:fldCharType="separate"/>
            </w:r>
            <w:r w:rsidR="00B06A4A">
              <w:rPr>
                <w:webHidden/>
              </w:rPr>
              <w:t>31</w:t>
            </w:r>
            <w:r w:rsidR="00B06A4A">
              <w:rPr>
                <w:webHidden/>
              </w:rPr>
              <w:fldChar w:fldCharType="end"/>
            </w:r>
          </w:hyperlink>
        </w:p>
        <w:p w14:paraId="1A98899C" w14:textId="68E40E19" w:rsidR="00B06A4A" w:rsidRDefault="004C765F">
          <w:pPr>
            <w:pStyle w:val="Saturs2"/>
            <w:rPr>
              <w:rFonts w:asciiTheme="minorHAnsi" w:eastAsiaTheme="minorEastAsia" w:hAnsiTheme="minorHAnsi" w:cstheme="minorBidi"/>
              <w:b w:val="0"/>
              <w:bCs w:val="0"/>
              <w:lang w:bidi="ar-SA"/>
            </w:rPr>
          </w:pPr>
          <w:hyperlink w:anchor="_Toc484770709" w:history="1">
            <w:r w:rsidR="00B06A4A" w:rsidRPr="005054F3">
              <w:rPr>
                <w:rStyle w:val="Hipersaite"/>
              </w:rPr>
              <w:t>7.2</w:t>
            </w:r>
            <w:r w:rsidR="00B06A4A">
              <w:rPr>
                <w:rFonts w:asciiTheme="minorHAnsi" w:eastAsiaTheme="minorEastAsia" w:hAnsiTheme="minorHAnsi" w:cstheme="minorBidi"/>
                <w:b w:val="0"/>
                <w:bCs w:val="0"/>
                <w:lang w:bidi="ar-SA"/>
              </w:rPr>
              <w:tab/>
            </w:r>
            <w:r w:rsidR="00B06A4A" w:rsidRPr="005054F3">
              <w:rPr>
                <w:rStyle w:val="Hipersaite"/>
              </w:rPr>
              <w:t>D saskaņošanas koncepcija</w:t>
            </w:r>
            <w:r w:rsidR="00B06A4A">
              <w:rPr>
                <w:webHidden/>
              </w:rPr>
              <w:tab/>
            </w:r>
            <w:r w:rsidR="00B06A4A">
              <w:rPr>
                <w:webHidden/>
              </w:rPr>
              <w:fldChar w:fldCharType="begin"/>
            </w:r>
            <w:r w:rsidR="00B06A4A">
              <w:rPr>
                <w:webHidden/>
              </w:rPr>
              <w:instrText xml:space="preserve"> PAGEREF _Toc484770709 \h </w:instrText>
            </w:r>
            <w:r w:rsidR="00B06A4A">
              <w:rPr>
                <w:webHidden/>
              </w:rPr>
            </w:r>
            <w:r w:rsidR="00B06A4A">
              <w:rPr>
                <w:webHidden/>
              </w:rPr>
              <w:fldChar w:fldCharType="separate"/>
            </w:r>
            <w:r w:rsidR="00B06A4A">
              <w:rPr>
                <w:webHidden/>
              </w:rPr>
              <w:t>33</w:t>
            </w:r>
            <w:r w:rsidR="00B06A4A">
              <w:rPr>
                <w:webHidden/>
              </w:rPr>
              <w:fldChar w:fldCharType="end"/>
            </w:r>
          </w:hyperlink>
        </w:p>
        <w:p w14:paraId="68E3D759" w14:textId="28903206" w:rsidR="00B06A4A" w:rsidRDefault="004C765F">
          <w:pPr>
            <w:pStyle w:val="Saturs3"/>
            <w:rPr>
              <w:rFonts w:eastAsiaTheme="minorEastAsia"/>
              <w:b w:val="0"/>
              <w:lang w:bidi="ar-SA"/>
            </w:rPr>
          </w:pPr>
          <w:hyperlink w:anchor="_Toc484770710" w:history="1">
            <w:r w:rsidR="00B06A4A" w:rsidRPr="005054F3">
              <w:rPr>
                <w:rStyle w:val="Hipersaite"/>
                <w:lang w:val="en-US"/>
              </w:rPr>
              <w:t>7.2.1</w:t>
            </w:r>
            <w:r w:rsidR="00B06A4A">
              <w:rPr>
                <w:rFonts w:eastAsiaTheme="minorEastAsia"/>
                <w:b w:val="0"/>
                <w:lang w:bidi="ar-SA"/>
              </w:rPr>
              <w:tab/>
            </w:r>
            <w:r w:rsidR="00B06A4A" w:rsidRPr="005054F3">
              <w:rPr>
                <w:rStyle w:val="Hipersaite"/>
              </w:rPr>
              <w:t>D sistēmas</w:t>
            </w:r>
            <w:r w:rsidR="00B06A4A">
              <w:rPr>
                <w:webHidden/>
              </w:rPr>
              <w:tab/>
            </w:r>
            <w:r w:rsidR="00B06A4A">
              <w:rPr>
                <w:webHidden/>
              </w:rPr>
              <w:fldChar w:fldCharType="begin"/>
            </w:r>
            <w:r w:rsidR="00B06A4A">
              <w:rPr>
                <w:webHidden/>
              </w:rPr>
              <w:instrText xml:space="preserve"> PAGEREF _Toc484770710 \h </w:instrText>
            </w:r>
            <w:r w:rsidR="00B06A4A">
              <w:rPr>
                <w:webHidden/>
              </w:rPr>
            </w:r>
            <w:r w:rsidR="00B06A4A">
              <w:rPr>
                <w:webHidden/>
              </w:rPr>
              <w:fldChar w:fldCharType="separate"/>
            </w:r>
            <w:r w:rsidR="00B06A4A">
              <w:rPr>
                <w:webHidden/>
              </w:rPr>
              <w:t>34</w:t>
            </w:r>
            <w:r w:rsidR="00B06A4A">
              <w:rPr>
                <w:webHidden/>
              </w:rPr>
              <w:fldChar w:fldCharType="end"/>
            </w:r>
          </w:hyperlink>
        </w:p>
        <w:p w14:paraId="07C95B96" w14:textId="0CC16B81" w:rsidR="00B06A4A" w:rsidRDefault="004C765F">
          <w:pPr>
            <w:pStyle w:val="Saturs3"/>
            <w:rPr>
              <w:rFonts w:eastAsiaTheme="minorEastAsia"/>
              <w:b w:val="0"/>
              <w:lang w:bidi="ar-SA"/>
            </w:rPr>
          </w:pPr>
          <w:hyperlink w:anchor="_Toc484770711" w:history="1">
            <w:r w:rsidR="00B06A4A" w:rsidRPr="005054F3">
              <w:rPr>
                <w:rStyle w:val="Hipersaite"/>
                <w:lang w:val="en-US"/>
              </w:rPr>
              <w:t>7.2.2</w:t>
            </w:r>
            <w:r w:rsidR="00B06A4A">
              <w:rPr>
                <w:rFonts w:eastAsiaTheme="minorEastAsia"/>
                <w:b w:val="0"/>
                <w:lang w:bidi="ar-SA"/>
              </w:rPr>
              <w:tab/>
            </w:r>
            <w:r w:rsidR="00B06A4A" w:rsidRPr="005054F3">
              <w:rPr>
                <w:rStyle w:val="Hipersaite"/>
              </w:rPr>
              <w:t>D procedūras</w:t>
            </w:r>
            <w:r w:rsidR="00B06A4A">
              <w:rPr>
                <w:webHidden/>
              </w:rPr>
              <w:tab/>
            </w:r>
            <w:r w:rsidR="00B06A4A">
              <w:rPr>
                <w:webHidden/>
              </w:rPr>
              <w:fldChar w:fldCharType="begin"/>
            </w:r>
            <w:r w:rsidR="00B06A4A">
              <w:rPr>
                <w:webHidden/>
              </w:rPr>
              <w:instrText xml:space="preserve"> PAGEREF _Toc484770711 \h </w:instrText>
            </w:r>
            <w:r w:rsidR="00B06A4A">
              <w:rPr>
                <w:webHidden/>
              </w:rPr>
            </w:r>
            <w:r w:rsidR="00B06A4A">
              <w:rPr>
                <w:webHidden/>
              </w:rPr>
              <w:fldChar w:fldCharType="separate"/>
            </w:r>
            <w:r w:rsidR="00B06A4A">
              <w:rPr>
                <w:webHidden/>
              </w:rPr>
              <w:t>35</w:t>
            </w:r>
            <w:r w:rsidR="00B06A4A">
              <w:rPr>
                <w:webHidden/>
              </w:rPr>
              <w:fldChar w:fldCharType="end"/>
            </w:r>
          </w:hyperlink>
        </w:p>
        <w:p w14:paraId="52CB2C55" w14:textId="358F635E" w:rsidR="00B06A4A" w:rsidRDefault="004C765F">
          <w:pPr>
            <w:pStyle w:val="Saturs2"/>
            <w:rPr>
              <w:rFonts w:asciiTheme="minorHAnsi" w:eastAsiaTheme="minorEastAsia" w:hAnsiTheme="minorHAnsi" w:cstheme="minorBidi"/>
              <w:b w:val="0"/>
              <w:bCs w:val="0"/>
              <w:lang w:bidi="ar-SA"/>
            </w:rPr>
          </w:pPr>
          <w:hyperlink w:anchor="_Toc484770712" w:history="1">
            <w:r w:rsidR="00B06A4A" w:rsidRPr="005054F3">
              <w:rPr>
                <w:rStyle w:val="Hipersaite"/>
              </w:rPr>
              <w:t>7.3</w:t>
            </w:r>
            <w:r w:rsidR="00B06A4A">
              <w:rPr>
                <w:rFonts w:asciiTheme="minorHAnsi" w:eastAsiaTheme="minorEastAsia" w:hAnsiTheme="minorHAnsi" w:cstheme="minorBidi"/>
                <w:b w:val="0"/>
                <w:bCs w:val="0"/>
                <w:lang w:bidi="ar-SA"/>
              </w:rPr>
              <w:tab/>
            </w:r>
            <w:r w:rsidR="00B06A4A" w:rsidRPr="005054F3">
              <w:rPr>
                <w:rStyle w:val="Hipersaite"/>
              </w:rPr>
              <w:t>Pārvaldība</w:t>
            </w:r>
            <w:r w:rsidR="00B06A4A">
              <w:rPr>
                <w:webHidden/>
              </w:rPr>
              <w:tab/>
            </w:r>
            <w:r w:rsidR="00B06A4A">
              <w:rPr>
                <w:webHidden/>
              </w:rPr>
              <w:fldChar w:fldCharType="begin"/>
            </w:r>
            <w:r w:rsidR="00B06A4A">
              <w:rPr>
                <w:webHidden/>
              </w:rPr>
              <w:instrText xml:space="preserve"> PAGEREF _Toc484770712 \h </w:instrText>
            </w:r>
            <w:r w:rsidR="00B06A4A">
              <w:rPr>
                <w:webHidden/>
              </w:rPr>
            </w:r>
            <w:r w:rsidR="00B06A4A">
              <w:rPr>
                <w:webHidden/>
              </w:rPr>
              <w:fldChar w:fldCharType="separate"/>
            </w:r>
            <w:r w:rsidR="00B06A4A">
              <w:rPr>
                <w:webHidden/>
              </w:rPr>
              <w:t>35</w:t>
            </w:r>
            <w:r w:rsidR="00B06A4A">
              <w:rPr>
                <w:webHidden/>
              </w:rPr>
              <w:fldChar w:fldCharType="end"/>
            </w:r>
          </w:hyperlink>
        </w:p>
        <w:p w14:paraId="5770A47A" w14:textId="29BB28A3" w:rsidR="00B06A4A" w:rsidRDefault="004C765F">
          <w:pPr>
            <w:pStyle w:val="Saturs3"/>
            <w:rPr>
              <w:rFonts w:eastAsiaTheme="minorEastAsia"/>
              <w:b w:val="0"/>
              <w:lang w:bidi="ar-SA"/>
            </w:rPr>
          </w:pPr>
          <w:hyperlink w:anchor="_Toc484770713" w:history="1">
            <w:r w:rsidR="00B06A4A" w:rsidRPr="005054F3">
              <w:rPr>
                <w:rStyle w:val="Hipersaite"/>
                <w:lang w:val="en-US"/>
              </w:rPr>
              <w:t>7.3.1</w:t>
            </w:r>
            <w:r w:rsidR="00B06A4A">
              <w:rPr>
                <w:rFonts w:eastAsiaTheme="minorEastAsia"/>
                <w:b w:val="0"/>
                <w:lang w:bidi="ar-SA"/>
              </w:rPr>
              <w:tab/>
            </w:r>
            <w:r w:rsidR="00B06A4A" w:rsidRPr="005054F3">
              <w:rPr>
                <w:rStyle w:val="Hipersaite"/>
              </w:rPr>
              <w:t>Izmaiņu kontroles procedūra</w:t>
            </w:r>
            <w:r w:rsidR="00B06A4A">
              <w:rPr>
                <w:webHidden/>
              </w:rPr>
              <w:tab/>
            </w:r>
            <w:r w:rsidR="00B06A4A">
              <w:rPr>
                <w:webHidden/>
              </w:rPr>
              <w:fldChar w:fldCharType="begin"/>
            </w:r>
            <w:r w:rsidR="00B06A4A">
              <w:rPr>
                <w:webHidden/>
              </w:rPr>
              <w:instrText xml:space="preserve"> PAGEREF _Toc484770713 \h </w:instrText>
            </w:r>
            <w:r w:rsidR="00B06A4A">
              <w:rPr>
                <w:webHidden/>
              </w:rPr>
            </w:r>
            <w:r w:rsidR="00B06A4A">
              <w:rPr>
                <w:webHidden/>
              </w:rPr>
              <w:fldChar w:fldCharType="separate"/>
            </w:r>
            <w:r w:rsidR="00B06A4A">
              <w:rPr>
                <w:webHidden/>
              </w:rPr>
              <w:t>35</w:t>
            </w:r>
            <w:r w:rsidR="00B06A4A">
              <w:rPr>
                <w:webHidden/>
              </w:rPr>
              <w:fldChar w:fldCharType="end"/>
            </w:r>
          </w:hyperlink>
        </w:p>
        <w:p w14:paraId="1762AFDE" w14:textId="2E08436D" w:rsidR="00B06A4A" w:rsidRDefault="004C765F">
          <w:pPr>
            <w:pStyle w:val="Saturs1"/>
            <w:rPr>
              <w:rFonts w:asciiTheme="minorHAnsi" w:eastAsiaTheme="minorEastAsia" w:hAnsiTheme="minorHAnsi" w:cstheme="minorBidi"/>
              <w:bCs w:val="0"/>
              <w:lang w:bidi="ar-SA"/>
            </w:rPr>
          </w:pPr>
          <w:hyperlink w:anchor="_Toc484770714" w:history="1">
            <w:r w:rsidR="00B06A4A" w:rsidRPr="005054F3">
              <w:rPr>
                <w:rStyle w:val="Hipersaite"/>
              </w:rPr>
              <w:t>8</w:t>
            </w:r>
            <w:r w:rsidR="00B06A4A">
              <w:rPr>
                <w:rFonts w:asciiTheme="minorHAnsi" w:eastAsiaTheme="minorEastAsia" w:hAnsiTheme="minorHAnsi" w:cstheme="minorBidi"/>
                <w:bCs w:val="0"/>
                <w:lang w:bidi="ar-SA"/>
              </w:rPr>
              <w:tab/>
            </w:r>
            <w:r w:rsidR="00B06A4A" w:rsidRPr="005054F3">
              <w:rPr>
                <w:rStyle w:val="Hipersaite"/>
              </w:rPr>
              <w:t>CACM METOŽU GAIDĀMĀ IETEKME</w:t>
            </w:r>
            <w:r w:rsidR="00B06A4A">
              <w:rPr>
                <w:webHidden/>
              </w:rPr>
              <w:tab/>
            </w:r>
            <w:r w:rsidR="00B06A4A">
              <w:rPr>
                <w:webHidden/>
              </w:rPr>
              <w:fldChar w:fldCharType="begin"/>
            </w:r>
            <w:r w:rsidR="00B06A4A">
              <w:rPr>
                <w:webHidden/>
              </w:rPr>
              <w:instrText xml:space="preserve"> PAGEREF _Toc484770714 \h </w:instrText>
            </w:r>
            <w:r w:rsidR="00B06A4A">
              <w:rPr>
                <w:webHidden/>
              </w:rPr>
            </w:r>
            <w:r w:rsidR="00B06A4A">
              <w:rPr>
                <w:webHidden/>
              </w:rPr>
              <w:fldChar w:fldCharType="separate"/>
            </w:r>
            <w:r w:rsidR="00B06A4A">
              <w:rPr>
                <w:webHidden/>
              </w:rPr>
              <w:t>36</w:t>
            </w:r>
            <w:r w:rsidR="00B06A4A">
              <w:rPr>
                <w:webHidden/>
              </w:rPr>
              <w:fldChar w:fldCharType="end"/>
            </w:r>
          </w:hyperlink>
        </w:p>
        <w:p w14:paraId="40019F6E" w14:textId="4AE34ED3" w:rsidR="00B06A4A" w:rsidRDefault="004C765F">
          <w:pPr>
            <w:pStyle w:val="Saturs1"/>
            <w:rPr>
              <w:rFonts w:asciiTheme="minorHAnsi" w:eastAsiaTheme="minorEastAsia" w:hAnsiTheme="minorHAnsi" w:cstheme="minorBidi"/>
              <w:bCs w:val="0"/>
              <w:lang w:bidi="ar-SA"/>
            </w:rPr>
          </w:pPr>
          <w:hyperlink w:anchor="_Toc484770715" w:history="1">
            <w:r w:rsidR="00B06A4A" w:rsidRPr="005054F3">
              <w:rPr>
                <w:rStyle w:val="Hipersaite"/>
                <w:rFonts w:eastAsia="Times New Roman" w:cs="Times New Roman"/>
              </w:rPr>
              <w:t>9</w:t>
            </w:r>
            <w:r w:rsidR="00B06A4A">
              <w:rPr>
                <w:rFonts w:asciiTheme="minorHAnsi" w:eastAsiaTheme="minorEastAsia" w:hAnsiTheme="minorHAnsi" w:cstheme="minorBidi"/>
                <w:bCs w:val="0"/>
                <w:lang w:bidi="ar-SA"/>
              </w:rPr>
              <w:tab/>
            </w:r>
            <w:r w:rsidR="00B06A4A" w:rsidRPr="005054F3">
              <w:rPr>
                <w:rStyle w:val="Hipersaite"/>
              </w:rPr>
              <w:t>1. PIELIKUMS – pagaidu NETO sadarbības līguma (PNSL) kopsavilkums</w:t>
            </w:r>
            <w:r w:rsidR="00B06A4A">
              <w:rPr>
                <w:webHidden/>
              </w:rPr>
              <w:tab/>
            </w:r>
            <w:r w:rsidR="00B06A4A">
              <w:rPr>
                <w:webHidden/>
              </w:rPr>
              <w:fldChar w:fldCharType="begin"/>
            </w:r>
            <w:r w:rsidR="00B06A4A">
              <w:rPr>
                <w:webHidden/>
              </w:rPr>
              <w:instrText xml:space="preserve"> PAGEREF _Toc484770715 \h </w:instrText>
            </w:r>
            <w:r w:rsidR="00B06A4A">
              <w:rPr>
                <w:webHidden/>
              </w:rPr>
            </w:r>
            <w:r w:rsidR="00B06A4A">
              <w:rPr>
                <w:webHidden/>
              </w:rPr>
              <w:fldChar w:fldCharType="separate"/>
            </w:r>
            <w:r w:rsidR="00B06A4A">
              <w:rPr>
                <w:webHidden/>
              </w:rPr>
              <w:t>39</w:t>
            </w:r>
            <w:r w:rsidR="00B06A4A">
              <w:rPr>
                <w:webHidden/>
              </w:rPr>
              <w:fldChar w:fldCharType="end"/>
            </w:r>
          </w:hyperlink>
        </w:p>
        <w:p w14:paraId="194E1941" w14:textId="55FF557F" w:rsidR="00B06A4A" w:rsidRDefault="004C765F">
          <w:pPr>
            <w:pStyle w:val="Saturs1"/>
            <w:rPr>
              <w:rFonts w:asciiTheme="minorHAnsi" w:eastAsiaTheme="minorEastAsia" w:hAnsiTheme="minorHAnsi" w:cstheme="minorBidi"/>
              <w:bCs w:val="0"/>
              <w:lang w:bidi="ar-SA"/>
            </w:rPr>
          </w:pPr>
          <w:hyperlink w:anchor="_Toc484770716" w:history="1">
            <w:r w:rsidR="00B06A4A" w:rsidRPr="005054F3">
              <w:rPr>
                <w:rStyle w:val="Hipersaite"/>
                <w:rFonts w:eastAsia="Times New Roman" w:cs="Times New Roman"/>
              </w:rPr>
              <w:t>10</w:t>
            </w:r>
            <w:r w:rsidR="00B06A4A">
              <w:rPr>
                <w:rFonts w:asciiTheme="minorHAnsi" w:eastAsiaTheme="minorEastAsia" w:hAnsiTheme="minorHAnsi" w:cstheme="minorBidi"/>
                <w:bCs w:val="0"/>
                <w:lang w:bidi="ar-SA"/>
              </w:rPr>
              <w:tab/>
            </w:r>
            <w:r w:rsidR="00B06A4A" w:rsidRPr="005054F3">
              <w:rPr>
                <w:rStyle w:val="Hipersaite"/>
              </w:rPr>
              <w:t xml:space="preserve">2. PIELIKUMS </w:t>
            </w:r>
            <w:r w:rsidR="00B06A4A" w:rsidRPr="005054F3">
              <w:rPr>
                <w:rStyle w:val="Hipersaite"/>
                <w:rFonts w:ascii="Calibri" w:hAnsi="Calibri"/>
              </w:rPr>
              <w:t xml:space="preserve">– </w:t>
            </w:r>
            <w:r w:rsidR="00B06A4A" w:rsidRPr="005054F3">
              <w:rPr>
                <w:rStyle w:val="Hipersaite"/>
              </w:rPr>
              <w:t>ND līgumu kopsavilkums</w:t>
            </w:r>
            <w:r w:rsidR="00B06A4A">
              <w:rPr>
                <w:webHidden/>
              </w:rPr>
              <w:tab/>
            </w:r>
            <w:r w:rsidR="00B06A4A">
              <w:rPr>
                <w:webHidden/>
              </w:rPr>
              <w:fldChar w:fldCharType="begin"/>
            </w:r>
            <w:r w:rsidR="00B06A4A">
              <w:rPr>
                <w:webHidden/>
              </w:rPr>
              <w:instrText xml:space="preserve"> PAGEREF _Toc484770716 \h </w:instrText>
            </w:r>
            <w:r w:rsidR="00B06A4A">
              <w:rPr>
                <w:webHidden/>
              </w:rPr>
            </w:r>
            <w:r w:rsidR="00B06A4A">
              <w:rPr>
                <w:webHidden/>
              </w:rPr>
              <w:fldChar w:fldCharType="separate"/>
            </w:r>
            <w:r w:rsidR="00B06A4A">
              <w:rPr>
                <w:webHidden/>
              </w:rPr>
              <w:t>40</w:t>
            </w:r>
            <w:r w:rsidR="00B06A4A">
              <w:rPr>
                <w:webHidden/>
              </w:rPr>
              <w:fldChar w:fldCharType="end"/>
            </w:r>
          </w:hyperlink>
        </w:p>
        <w:p w14:paraId="642B815E" w14:textId="735CBD0D" w:rsidR="00B06A4A" w:rsidRDefault="004C765F">
          <w:pPr>
            <w:pStyle w:val="Saturs2"/>
            <w:rPr>
              <w:rFonts w:asciiTheme="minorHAnsi" w:eastAsiaTheme="minorEastAsia" w:hAnsiTheme="minorHAnsi" w:cstheme="minorBidi"/>
              <w:b w:val="0"/>
              <w:bCs w:val="0"/>
              <w:lang w:bidi="ar-SA"/>
            </w:rPr>
          </w:pPr>
          <w:hyperlink w:anchor="_Toc484770717" w:history="1">
            <w:r w:rsidR="00B06A4A" w:rsidRPr="005054F3">
              <w:rPr>
                <w:rStyle w:val="Hipersaite"/>
                <w:rFonts w:eastAsia="Times New Roman"/>
              </w:rPr>
              <w:t>10.1</w:t>
            </w:r>
            <w:r w:rsidR="00B06A4A">
              <w:rPr>
                <w:rFonts w:asciiTheme="minorHAnsi" w:eastAsiaTheme="minorEastAsia" w:hAnsiTheme="minorHAnsi" w:cstheme="minorBidi"/>
                <w:b w:val="0"/>
                <w:bCs w:val="0"/>
                <w:lang w:bidi="ar-SA"/>
              </w:rPr>
              <w:tab/>
            </w:r>
            <w:r w:rsidR="00B06A4A" w:rsidRPr="005054F3">
              <w:rPr>
                <w:rStyle w:val="Hipersaite"/>
              </w:rPr>
              <w:t>NETO ND darbības līguma projekta kopsavilkums</w:t>
            </w:r>
            <w:r w:rsidR="00B06A4A">
              <w:rPr>
                <w:webHidden/>
              </w:rPr>
              <w:tab/>
            </w:r>
            <w:r w:rsidR="00B06A4A">
              <w:rPr>
                <w:webHidden/>
              </w:rPr>
              <w:fldChar w:fldCharType="begin"/>
            </w:r>
            <w:r w:rsidR="00B06A4A">
              <w:rPr>
                <w:webHidden/>
              </w:rPr>
              <w:instrText xml:space="preserve"> PAGEREF _Toc484770717 \h </w:instrText>
            </w:r>
            <w:r w:rsidR="00B06A4A">
              <w:rPr>
                <w:webHidden/>
              </w:rPr>
            </w:r>
            <w:r w:rsidR="00B06A4A">
              <w:rPr>
                <w:webHidden/>
              </w:rPr>
              <w:fldChar w:fldCharType="separate"/>
            </w:r>
            <w:r w:rsidR="00B06A4A">
              <w:rPr>
                <w:webHidden/>
              </w:rPr>
              <w:t>40</w:t>
            </w:r>
            <w:r w:rsidR="00B06A4A">
              <w:rPr>
                <w:webHidden/>
              </w:rPr>
              <w:fldChar w:fldCharType="end"/>
            </w:r>
          </w:hyperlink>
        </w:p>
        <w:p w14:paraId="740EDA2C" w14:textId="2CEA19C5" w:rsidR="00B06A4A" w:rsidRDefault="004C765F">
          <w:pPr>
            <w:pStyle w:val="Saturs2"/>
            <w:rPr>
              <w:rFonts w:asciiTheme="minorHAnsi" w:eastAsiaTheme="minorEastAsia" w:hAnsiTheme="minorHAnsi" w:cstheme="minorBidi"/>
              <w:b w:val="0"/>
              <w:bCs w:val="0"/>
              <w:lang w:bidi="ar-SA"/>
            </w:rPr>
          </w:pPr>
          <w:hyperlink w:anchor="_Toc484770718" w:history="1">
            <w:r w:rsidR="00B06A4A" w:rsidRPr="005054F3">
              <w:rPr>
                <w:rStyle w:val="Hipersaite"/>
                <w:rFonts w:eastAsia="Times New Roman"/>
              </w:rPr>
              <w:t>10.2</w:t>
            </w:r>
            <w:r w:rsidR="00B06A4A">
              <w:rPr>
                <w:rFonts w:asciiTheme="minorHAnsi" w:eastAsiaTheme="minorEastAsia" w:hAnsiTheme="minorHAnsi" w:cstheme="minorBidi"/>
                <w:b w:val="0"/>
                <w:bCs w:val="0"/>
                <w:lang w:bidi="ar-SA"/>
              </w:rPr>
              <w:tab/>
            </w:r>
            <w:r w:rsidR="00B06A4A" w:rsidRPr="005054F3">
              <w:rPr>
                <w:rStyle w:val="Hipersaite"/>
              </w:rPr>
              <w:t xml:space="preserve">Kopsavilkums līgumam ar ND TSO funkcijas pakalpojumu nodrošinātāju </w:t>
            </w:r>
            <w:r w:rsidR="00B06A4A" w:rsidRPr="005054F3">
              <w:rPr>
                <w:rStyle w:val="Hipersaite"/>
                <w:rFonts w:ascii="Calibri" w:hAnsi="Calibri"/>
              </w:rPr>
              <w:t xml:space="preserve">– </w:t>
            </w:r>
            <w:r w:rsidR="00B06A4A" w:rsidRPr="005054F3">
              <w:rPr>
                <w:rStyle w:val="Hipersaite"/>
              </w:rPr>
              <w:t>CKS pakalpojumu nodrošinātāju</w:t>
            </w:r>
            <w:r w:rsidR="00B06A4A">
              <w:rPr>
                <w:webHidden/>
              </w:rPr>
              <w:tab/>
            </w:r>
            <w:r w:rsidR="00B06A4A">
              <w:rPr>
                <w:webHidden/>
              </w:rPr>
              <w:fldChar w:fldCharType="begin"/>
            </w:r>
            <w:r w:rsidR="00B06A4A">
              <w:rPr>
                <w:webHidden/>
              </w:rPr>
              <w:instrText xml:space="preserve"> PAGEREF _Toc484770718 \h </w:instrText>
            </w:r>
            <w:r w:rsidR="00B06A4A">
              <w:rPr>
                <w:webHidden/>
              </w:rPr>
            </w:r>
            <w:r w:rsidR="00B06A4A">
              <w:rPr>
                <w:webHidden/>
              </w:rPr>
              <w:fldChar w:fldCharType="separate"/>
            </w:r>
            <w:r w:rsidR="00B06A4A">
              <w:rPr>
                <w:webHidden/>
              </w:rPr>
              <w:t>44</w:t>
            </w:r>
            <w:r w:rsidR="00B06A4A">
              <w:rPr>
                <w:webHidden/>
              </w:rPr>
              <w:fldChar w:fldCharType="end"/>
            </w:r>
          </w:hyperlink>
        </w:p>
        <w:p w14:paraId="78D4C0D1" w14:textId="219025C9" w:rsidR="00B06A4A" w:rsidRDefault="004C765F">
          <w:pPr>
            <w:pStyle w:val="Saturs2"/>
            <w:rPr>
              <w:rFonts w:asciiTheme="minorHAnsi" w:eastAsiaTheme="minorEastAsia" w:hAnsiTheme="minorHAnsi" w:cstheme="minorBidi"/>
              <w:b w:val="0"/>
              <w:bCs w:val="0"/>
              <w:lang w:bidi="ar-SA"/>
            </w:rPr>
          </w:pPr>
          <w:hyperlink w:anchor="_Toc484770719" w:history="1">
            <w:r w:rsidR="00B06A4A" w:rsidRPr="005054F3">
              <w:rPr>
                <w:rStyle w:val="Hipersaite"/>
                <w:rFonts w:eastAsia="Times New Roman"/>
              </w:rPr>
              <w:t>10.3</w:t>
            </w:r>
            <w:r w:rsidR="00B06A4A">
              <w:rPr>
                <w:rFonts w:asciiTheme="minorHAnsi" w:eastAsiaTheme="minorEastAsia" w:hAnsiTheme="minorHAnsi" w:cstheme="minorBidi"/>
                <w:b w:val="0"/>
                <w:bCs w:val="0"/>
                <w:lang w:bidi="ar-SA"/>
              </w:rPr>
              <w:tab/>
            </w:r>
            <w:r w:rsidR="00B06A4A" w:rsidRPr="005054F3">
              <w:rPr>
                <w:rStyle w:val="Hipersaite"/>
              </w:rPr>
              <w:t xml:space="preserve">Kopsavilkums līgumam ar ND TSO funkcijas pakalpojumu nodrošinātāju </w:t>
            </w:r>
            <w:r w:rsidR="00B06A4A" w:rsidRPr="005054F3">
              <w:rPr>
                <w:rStyle w:val="Hipersaite"/>
                <w:rFonts w:ascii="Calibri" w:hAnsi="Calibri"/>
              </w:rPr>
              <w:t xml:space="preserve">– </w:t>
            </w:r>
            <w:r w:rsidR="00B06A4A" w:rsidRPr="005054F3">
              <w:rPr>
                <w:rStyle w:val="Hipersaite"/>
              </w:rPr>
              <w:t>algoritma pakalpojumu nodrošinātāju</w:t>
            </w:r>
            <w:r w:rsidR="00B06A4A">
              <w:rPr>
                <w:webHidden/>
              </w:rPr>
              <w:tab/>
            </w:r>
            <w:r w:rsidR="00B06A4A">
              <w:rPr>
                <w:webHidden/>
              </w:rPr>
              <w:fldChar w:fldCharType="begin"/>
            </w:r>
            <w:r w:rsidR="00B06A4A">
              <w:rPr>
                <w:webHidden/>
              </w:rPr>
              <w:instrText xml:space="preserve"> PAGEREF _Toc484770719 \h </w:instrText>
            </w:r>
            <w:r w:rsidR="00B06A4A">
              <w:rPr>
                <w:webHidden/>
              </w:rPr>
            </w:r>
            <w:r w:rsidR="00B06A4A">
              <w:rPr>
                <w:webHidden/>
              </w:rPr>
              <w:fldChar w:fldCharType="separate"/>
            </w:r>
            <w:r w:rsidR="00B06A4A">
              <w:rPr>
                <w:webHidden/>
              </w:rPr>
              <w:t>45</w:t>
            </w:r>
            <w:r w:rsidR="00B06A4A">
              <w:rPr>
                <w:webHidden/>
              </w:rPr>
              <w:fldChar w:fldCharType="end"/>
            </w:r>
          </w:hyperlink>
        </w:p>
        <w:p w14:paraId="14F6156E" w14:textId="7CD88B19" w:rsidR="00B06A4A" w:rsidRDefault="004C765F">
          <w:pPr>
            <w:pStyle w:val="Saturs2"/>
            <w:rPr>
              <w:rFonts w:asciiTheme="minorHAnsi" w:eastAsiaTheme="minorEastAsia" w:hAnsiTheme="minorHAnsi" w:cstheme="minorBidi"/>
              <w:b w:val="0"/>
              <w:bCs w:val="0"/>
              <w:lang w:bidi="ar-SA"/>
            </w:rPr>
          </w:pPr>
          <w:hyperlink w:anchor="_Toc484770720" w:history="1">
            <w:r w:rsidR="00B06A4A" w:rsidRPr="005054F3">
              <w:rPr>
                <w:rStyle w:val="Hipersaite"/>
                <w:rFonts w:eastAsia="Times New Roman"/>
              </w:rPr>
              <w:t>10.4</w:t>
            </w:r>
            <w:r w:rsidR="00B06A4A">
              <w:rPr>
                <w:rFonts w:asciiTheme="minorHAnsi" w:eastAsiaTheme="minorEastAsia" w:hAnsiTheme="minorHAnsi" w:cstheme="minorBidi"/>
                <w:b w:val="0"/>
                <w:bCs w:val="0"/>
                <w:lang w:bidi="ar-SA"/>
              </w:rPr>
              <w:tab/>
            </w:r>
            <w:r w:rsidR="00B06A4A" w:rsidRPr="005054F3">
              <w:rPr>
                <w:rStyle w:val="Hipersaite"/>
              </w:rPr>
              <w:t xml:space="preserve">Kopsavilkums līgumam ar ND TSO funkcijas pakalpojumu nodrošinātāju </w:t>
            </w:r>
            <w:r w:rsidR="00B06A4A" w:rsidRPr="005054F3">
              <w:rPr>
                <w:rStyle w:val="Hipersaite"/>
                <w:rFonts w:ascii="Calibri" w:hAnsi="Calibri"/>
              </w:rPr>
              <w:t xml:space="preserve">– </w:t>
            </w:r>
            <w:r w:rsidR="00B06A4A" w:rsidRPr="005054F3">
              <w:rPr>
                <w:rStyle w:val="Hipersaite"/>
              </w:rPr>
              <w:t>sakaru tīkla piegādātāju</w:t>
            </w:r>
            <w:r w:rsidR="00B06A4A">
              <w:rPr>
                <w:webHidden/>
              </w:rPr>
              <w:tab/>
            </w:r>
            <w:r w:rsidR="00B06A4A">
              <w:rPr>
                <w:webHidden/>
              </w:rPr>
              <w:fldChar w:fldCharType="begin"/>
            </w:r>
            <w:r w:rsidR="00B06A4A">
              <w:rPr>
                <w:webHidden/>
              </w:rPr>
              <w:instrText xml:space="preserve"> PAGEREF _Toc484770720 \h </w:instrText>
            </w:r>
            <w:r w:rsidR="00B06A4A">
              <w:rPr>
                <w:webHidden/>
              </w:rPr>
            </w:r>
            <w:r w:rsidR="00B06A4A">
              <w:rPr>
                <w:webHidden/>
              </w:rPr>
              <w:fldChar w:fldCharType="separate"/>
            </w:r>
            <w:r w:rsidR="00B06A4A">
              <w:rPr>
                <w:webHidden/>
              </w:rPr>
              <w:t>46</w:t>
            </w:r>
            <w:r w:rsidR="00B06A4A">
              <w:rPr>
                <w:webHidden/>
              </w:rPr>
              <w:fldChar w:fldCharType="end"/>
            </w:r>
          </w:hyperlink>
        </w:p>
        <w:p w14:paraId="3FA0C80C" w14:textId="49E79DAD" w:rsidR="00B06A4A" w:rsidRDefault="004C765F">
          <w:pPr>
            <w:pStyle w:val="Saturs1"/>
            <w:rPr>
              <w:rFonts w:asciiTheme="minorHAnsi" w:eastAsiaTheme="minorEastAsia" w:hAnsiTheme="minorHAnsi" w:cstheme="minorBidi"/>
              <w:bCs w:val="0"/>
              <w:lang w:bidi="ar-SA"/>
            </w:rPr>
          </w:pPr>
          <w:hyperlink w:anchor="_Toc484770721" w:history="1">
            <w:r w:rsidR="00B06A4A" w:rsidRPr="005054F3">
              <w:rPr>
                <w:rStyle w:val="Hipersaite"/>
                <w:rFonts w:eastAsia="Times New Roman" w:cs="Times New Roman"/>
              </w:rPr>
              <w:t>11</w:t>
            </w:r>
            <w:r w:rsidR="00B06A4A">
              <w:rPr>
                <w:rFonts w:asciiTheme="minorHAnsi" w:eastAsiaTheme="minorEastAsia" w:hAnsiTheme="minorHAnsi" w:cstheme="minorBidi"/>
                <w:bCs w:val="0"/>
                <w:lang w:bidi="ar-SA"/>
              </w:rPr>
              <w:tab/>
            </w:r>
            <w:r w:rsidR="00B06A4A" w:rsidRPr="005054F3">
              <w:rPr>
                <w:rStyle w:val="Hipersaite"/>
              </w:rPr>
              <w:t xml:space="preserve">3. PIELIKUMS </w:t>
            </w:r>
            <w:r w:rsidR="00B06A4A" w:rsidRPr="005054F3">
              <w:rPr>
                <w:rStyle w:val="Hipersaite"/>
                <w:rFonts w:ascii="Calibri" w:hAnsi="Calibri"/>
              </w:rPr>
              <w:t xml:space="preserve">– </w:t>
            </w:r>
            <w:r w:rsidR="00B06A4A" w:rsidRPr="005054F3">
              <w:rPr>
                <w:rStyle w:val="Hipersaite"/>
              </w:rPr>
              <w:t>D līgumu kopsavilkums</w:t>
            </w:r>
            <w:r w:rsidR="00B06A4A">
              <w:rPr>
                <w:webHidden/>
              </w:rPr>
              <w:tab/>
            </w:r>
            <w:r w:rsidR="00B06A4A">
              <w:rPr>
                <w:webHidden/>
              </w:rPr>
              <w:fldChar w:fldCharType="begin"/>
            </w:r>
            <w:r w:rsidR="00B06A4A">
              <w:rPr>
                <w:webHidden/>
              </w:rPr>
              <w:instrText xml:space="preserve"> PAGEREF _Toc484770721 \h </w:instrText>
            </w:r>
            <w:r w:rsidR="00B06A4A">
              <w:rPr>
                <w:webHidden/>
              </w:rPr>
            </w:r>
            <w:r w:rsidR="00B06A4A">
              <w:rPr>
                <w:webHidden/>
              </w:rPr>
              <w:fldChar w:fldCharType="separate"/>
            </w:r>
            <w:r w:rsidR="00B06A4A">
              <w:rPr>
                <w:webHidden/>
              </w:rPr>
              <w:t>47</w:t>
            </w:r>
            <w:r w:rsidR="00B06A4A">
              <w:rPr>
                <w:webHidden/>
              </w:rPr>
              <w:fldChar w:fldCharType="end"/>
            </w:r>
          </w:hyperlink>
        </w:p>
        <w:p w14:paraId="162738D9" w14:textId="5188E2F8" w:rsidR="00B06A4A" w:rsidRDefault="004C765F">
          <w:pPr>
            <w:pStyle w:val="Saturs2"/>
            <w:rPr>
              <w:rFonts w:asciiTheme="minorHAnsi" w:eastAsiaTheme="minorEastAsia" w:hAnsiTheme="minorHAnsi" w:cstheme="minorBidi"/>
              <w:b w:val="0"/>
              <w:bCs w:val="0"/>
              <w:lang w:bidi="ar-SA"/>
            </w:rPr>
          </w:pPr>
          <w:hyperlink w:anchor="_Toc484770722" w:history="1">
            <w:r w:rsidR="00B06A4A" w:rsidRPr="005054F3">
              <w:rPr>
                <w:rStyle w:val="Hipersaite"/>
                <w:rFonts w:eastAsia="Times New Roman"/>
              </w:rPr>
              <w:t>11.1</w:t>
            </w:r>
            <w:r w:rsidR="00B06A4A">
              <w:rPr>
                <w:rFonts w:asciiTheme="minorHAnsi" w:eastAsiaTheme="minorEastAsia" w:hAnsiTheme="minorHAnsi" w:cstheme="minorBidi"/>
                <w:b w:val="0"/>
                <w:bCs w:val="0"/>
                <w:lang w:bidi="ar-SA"/>
              </w:rPr>
              <w:tab/>
            </w:r>
            <w:r w:rsidR="00B06A4A" w:rsidRPr="005054F3">
              <w:rPr>
                <w:rStyle w:val="Hipersaite"/>
              </w:rPr>
              <w:t>NETO D darbības līguma projekta kopsavilkums</w:t>
            </w:r>
            <w:r w:rsidR="00B06A4A">
              <w:rPr>
                <w:webHidden/>
              </w:rPr>
              <w:tab/>
            </w:r>
            <w:r w:rsidR="00B06A4A">
              <w:rPr>
                <w:webHidden/>
              </w:rPr>
              <w:fldChar w:fldCharType="begin"/>
            </w:r>
            <w:r w:rsidR="00B06A4A">
              <w:rPr>
                <w:webHidden/>
              </w:rPr>
              <w:instrText xml:space="preserve"> PAGEREF _Toc484770722 \h </w:instrText>
            </w:r>
            <w:r w:rsidR="00B06A4A">
              <w:rPr>
                <w:webHidden/>
              </w:rPr>
            </w:r>
            <w:r w:rsidR="00B06A4A">
              <w:rPr>
                <w:webHidden/>
              </w:rPr>
              <w:fldChar w:fldCharType="separate"/>
            </w:r>
            <w:r w:rsidR="00B06A4A">
              <w:rPr>
                <w:webHidden/>
              </w:rPr>
              <w:t>47</w:t>
            </w:r>
            <w:r w:rsidR="00B06A4A">
              <w:rPr>
                <w:webHidden/>
              </w:rPr>
              <w:fldChar w:fldCharType="end"/>
            </w:r>
          </w:hyperlink>
        </w:p>
        <w:p w14:paraId="79BC910E" w14:textId="422D31EB" w:rsidR="00B06A4A" w:rsidRDefault="004C765F">
          <w:pPr>
            <w:pStyle w:val="Saturs2"/>
            <w:rPr>
              <w:rFonts w:asciiTheme="minorHAnsi" w:eastAsiaTheme="minorEastAsia" w:hAnsiTheme="minorHAnsi" w:cstheme="minorBidi"/>
              <w:b w:val="0"/>
              <w:bCs w:val="0"/>
              <w:lang w:bidi="ar-SA"/>
            </w:rPr>
          </w:pPr>
          <w:hyperlink w:anchor="_Toc484770723" w:history="1">
            <w:r w:rsidR="00B06A4A" w:rsidRPr="005054F3">
              <w:rPr>
                <w:rStyle w:val="Hipersaite"/>
                <w:rFonts w:eastAsia="Times New Roman"/>
              </w:rPr>
              <w:t>11.2</w:t>
            </w:r>
            <w:r w:rsidR="00B06A4A">
              <w:rPr>
                <w:rFonts w:asciiTheme="minorHAnsi" w:eastAsiaTheme="minorEastAsia" w:hAnsiTheme="minorHAnsi" w:cstheme="minorBidi"/>
                <w:b w:val="0"/>
                <w:bCs w:val="0"/>
                <w:lang w:bidi="ar-SA"/>
              </w:rPr>
              <w:tab/>
            </w:r>
            <w:r w:rsidR="00B06A4A" w:rsidRPr="005054F3">
              <w:rPr>
                <w:rStyle w:val="Hipersaite"/>
              </w:rPr>
              <w:t>NETO sadarbības līguma kopsavilkums – EBSL</w:t>
            </w:r>
            <w:r w:rsidR="00B06A4A">
              <w:rPr>
                <w:webHidden/>
              </w:rPr>
              <w:tab/>
            </w:r>
            <w:r w:rsidR="00B06A4A">
              <w:rPr>
                <w:webHidden/>
              </w:rPr>
              <w:fldChar w:fldCharType="begin"/>
            </w:r>
            <w:r w:rsidR="00B06A4A">
              <w:rPr>
                <w:webHidden/>
              </w:rPr>
              <w:instrText xml:space="preserve"> PAGEREF _Toc484770723 \h </w:instrText>
            </w:r>
            <w:r w:rsidR="00B06A4A">
              <w:rPr>
                <w:webHidden/>
              </w:rPr>
            </w:r>
            <w:r w:rsidR="00B06A4A">
              <w:rPr>
                <w:webHidden/>
              </w:rPr>
              <w:fldChar w:fldCharType="separate"/>
            </w:r>
            <w:r w:rsidR="00B06A4A">
              <w:rPr>
                <w:webHidden/>
              </w:rPr>
              <w:t>50</w:t>
            </w:r>
            <w:r w:rsidR="00B06A4A">
              <w:rPr>
                <w:webHidden/>
              </w:rPr>
              <w:fldChar w:fldCharType="end"/>
            </w:r>
          </w:hyperlink>
        </w:p>
        <w:p w14:paraId="5215B714" w14:textId="59AA93FD" w:rsidR="00B06A4A" w:rsidRDefault="004C765F">
          <w:pPr>
            <w:pStyle w:val="Saturs2"/>
            <w:rPr>
              <w:rFonts w:asciiTheme="minorHAnsi" w:eastAsiaTheme="minorEastAsia" w:hAnsiTheme="minorHAnsi" w:cstheme="minorBidi"/>
              <w:b w:val="0"/>
              <w:bCs w:val="0"/>
              <w:lang w:bidi="ar-SA"/>
            </w:rPr>
          </w:pPr>
          <w:hyperlink w:anchor="_Toc484770724" w:history="1">
            <w:r w:rsidR="00B06A4A" w:rsidRPr="005054F3">
              <w:rPr>
                <w:rStyle w:val="Hipersaite"/>
                <w:rFonts w:eastAsia="Times New Roman"/>
              </w:rPr>
              <w:t>11.3</w:t>
            </w:r>
            <w:r w:rsidR="00B06A4A">
              <w:rPr>
                <w:rFonts w:asciiTheme="minorHAnsi" w:eastAsiaTheme="minorEastAsia" w:hAnsiTheme="minorHAnsi" w:cstheme="minorBidi"/>
                <w:b w:val="0"/>
                <w:bCs w:val="0"/>
                <w:lang w:bidi="ar-SA"/>
              </w:rPr>
              <w:tab/>
            </w:r>
            <w:r w:rsidR="00B06A4A" w:rsidRPr="005054F3">
              <w:rPr>
                <w:rStyle w:val="Hipersaite"/>
              </w:rPr>
              <w:t>Līguma ar DTSO funkcijas pakalpojumu nodrošinātāju – D sistēmas piegādātāju –kopsavilkums</w:t>
            </w:r>
            <w:r w:rsidR="00B06A4A">
              <w:rPr>
                <w:webHidden/>
              </w:rPr>
              <w:tab/>
            </w:r>
            <w:r w:rsidR="00B06A4A">
              <w:rPr>
                <w:webHidden/>
              </w:rPr>
              <w:fldChar w:fldCharType="begin"/>
            </w:r>
            <w:r w:rsidR="00B06A4A">
              <w:rPr>
                <w:webHidden/>
              </w:rPr>
              <w:instrText xml:space="preserve"> PAGEREF _Toc484770724 \h </w:instrText>
            </w:r>
            <w:r w:rsidR="00B06A4A">
              <w:rPr>
                <w:webHidden/>
              </w:rPr>
            </w:r>
            <w:r w:rsidR="00B06A4A">
              <w:rPr>
                <w:webHidden/>
              </w:rPr>
              <w:fldChar w:fldCharType="separate"/>
            </w:r>
            <w:r w:rsidR="00B06A4A">
              <w:rPr>
                <w:webHidden/>
              </w:rPr>
              <w:t>51</w:t>
            </w:r>
            <w:r w:rsidR="00B06A4A">
              <w:rPr>
                <w:webHidden/>
              </w:rPr>
              <w:fldChar w:fldCharType="end"/>
            </w:r>
          </w:hyperlink>
        </w:p>
        <w:p w14:paraId="261D50CF" w14:textId="28F56A39" w:rsidR="00B06A4A" w:rsidRDefault="004C765F">
          <w:pPr>
            <w:pStyle w:val="Saturs2"/>
            <w:rPr>
              <w:rFonts w:asciiTheme="minorHAnsi" w:eastAsiaTheme="minorEastAsia" w:hAnsiTheme="minorHAnsi" w:cstheme="minorBidi"/>
              <w:b w:val="0"/>
              <w:bCs w:val="0"/>
              <w:lang w:bidi="ar-SA"/>
            </w:rPr>
          </w:pPr>
          <w:hyperlink w:anchor="_Toc484770725" w:history="1">
            <w:r w:rsidR="00B06A4A" w:rsidRPr="005054F3">
              <w:rPr>
                <w:rStyle w:val="Hipersaite"/>
                <w:rFonts w:eastAsia="Times New Roman"/>
              </w:rPr>
              <w:t>11.4</w:t>
            </w:r>
            <w:r w:rsidR="00B06A4A">
              <w:rPr>
                <w:rFonts w:asciiTheme="minorHAnsi" w:eastAsiaTheme="minorEastAsia" w:hAnsiTheme="minorHAnsi" w:cstheme="minorBidi"/>
                <w:b w:val="0"/>
                <w:bCs w:val="0"/>
                <w:lang w:bidi="ar-SA"/>
              </w:rPr>
              <w:tab/>
            </w:r>
            <w:r w:rsidR="00B06A4A" w:rsidRPr="005054F3">
              <w:rPr>
                <w:rStyle w:val="Hipersaite"/>
              </w:rPr>
              <w:t>Līguma ar ND TSO funkcijas pakalpojumu nodrošinātāju – sakaru tīkla piegādātāju – kopsavilkums</w:t>
            </w:r>
            <w:r w:rsidR="00B06A4A">
              <w:rPr>
                <w:webHidden/>
              </w:rPr>
              <w:tab/>
            </w:r>
            <w:r w:rsidR="00B06A4A">
              <w:rPr>
                <w:webHidden/>
              </w:rPr>
              <w:fldChar w:fldCharType="begin"/>
            </w:r>
            <w:r w:rsidR="00B06A4A">
              <w:rPr>
                <w:webHidden/>
              </w:rPr>
              <w:instrText xml:space="preserve"> PAGEREF _Toc484770725 \h </w:instrText>
            </w:r>
            <w:r w:rsidR="00B06A4A">
              <w:rPr>
                <w:webHidden/>
              </w:rPr>
            </w:r>
            <w:r w:rsidR="00B06A4A">
              <w:rPr>
                <w:webHidden/>
              </w:rPr>
              <w:fldChar w:fldCharType="separate"/>
            </w:r>
            <w:r w:rsidR="00B06A4A">
              <w:rPr>
                <w:webHidden/>
              </w:rPr>
              <w:t>52</w:t>
            </w:r>
            <w:r w:rsidR="00B06A4A">
              <w:rPr>
                <w:webHidden/>
              </w:rPr>
              <w:fldChar w:fldCharType="end"/>
            </w:r>
          </w:hyperlink>
        </w:p>
        <w:p w14:paraId="26C9494B" w14:textId="2B909E1F" w:rsidR="00BD22BE" w:rsidRPr="00CB4A63" w:rsidRDefault="003F2F23">
          <w:pPr>
            <w:pStyle w:val="Saturs1"/>
            <w:rPr>
              <w:rFonts w:asciiTheme="minorHAnsi" w:eastAsiaTheme="minorEastAsia" w:hAnsiTheme="minorHAnsi" w:cstheme="minorBidi"/>
              <w:bCs w:val="0"/>
            </w:rPr>
          </w:pPr>
          <w:r w:rsidRPr="00CB4A63">
            <w:rPr>
              <w:b/>
            </w:rPr>
            <w:fldChar w:fldCharType="end"/>
          </w:r>
        </w:p>
      </w:sdtContent>
    </w:sdt>
    <w:p w14:paraId="2DA699A4" w14:textId="77777777" w:rsidR="00EC39FB" w:rsidRPr="00CB4A63" w:rsidRDefault="00EC39FB" w:rsidP="00EC39FB">
      <w:pPr>
        <w:pStyle w:val="Virsraksts1"/>
      </w:pPr>
      <w:bookmarkStart w:id="2" w:name="_Toc444849209"/>
      <w:bookmarkStart w:id="3" w:name="_Toc479786191"/>
      <w:bookmarkStart w:id="4" w:name="_Toc484770670"/>
      <w:r>
        <w:lastRenderedPageBreak/>
        <w:t>IEVADS</w:t>
      </w:r>
      <w:bookmarkEnd w:id="0"/>
      <w:bookmarkEnd w:id="2"/>
      <w:bookmarkEnd w:id="3"/>
      <w:bookmarkEnd w:id="4"/>
    </w:p>
    <w:p w14:paraId="6B60EB69" w14:textId="77777777" w:rsidR="000C3977" w:rsidRPr="00CB4A63" w:rsidRDefault="000C3977" w:rsidP="00F8117C">
      <w:pPr>
        <w:spacing w:after="120"/>
        <w:jc w:val="both"/>
      </w:pPr>
    </w:p>
    <w:p w14:paraId="00341C40" w14:textId="77777777" w:rsidR="00F8117C" w:rsidRPr="00CB4A63" w:rsidRDefault="00F8117C" w:rsidP="00F8117C">
      <w:pPr>
        <w:spacing w:after="120"/>
        <w:jc w:val="both"/>
      </w:pPr>
      <w:r>
        <w:t>Tā kā</w:t>
      </w:r>
    </w:p>
    <w:p w14:paraId="6A2C7586" w14:textId="77777777" w:rsidR="00416E34" w:rsidRPr="00CB4A63" w:rsidRDefault="00F8117C" w:rsidP="00015FB3">
      <w:pPr>
        <w:pStyle w:val="Sarakstarindkopa"/>
        <w:numPr>
          <w:ilvl w:val="0"/>
          <w:numId w:val="3"/>
        </w:numPr>
        <w:spacing w:after="120"/>
        <w:jc w:val="both"/>
      </w:pPr>
      <w:r>
        <w:t>šis dokuments ir kopīgs priekšlikums, ko visi nominētie elektroenerģijas tirgus operatori (turpmāk – „</w:t>
      </w:r>
      <w:r>
        <w:rPr>
          <w:b/>
        </w:rPr>
        <w:t>NETO</w:t>
      </w:r>
      <w:r>
        <w:t>”) izstrādājuši plānam, kas nosaka, kā NETO kopā izveidos un īstenos tirgus sasaistes operatora (TSO) funkcijas (turpmāk – „</w:t>
      </w:r>
      <w:r>
        <w:rPr>
          <w:b/>
        </w:rPr>
        <w:t>TSO plāns</w:t>
      </w:r>
      <w:r>
        <w:t>”) saskaņā ar Komisijas Regulas (ES) 2015/1222, ar ko izveido jaudas piešķiršanas un pārslodzes vadības vadlīnijas (turpmāk – „</w:t>
      </w:r>
      <w:r>
        <w:rPr>
          <w:b/>
        </w:rPr>
        <w:t>CACM regula</w:t>
      </w:r>
      <w:r>
        <w:t xml:space="preserve">”), 7. panta 2. punktu. </w:t>
      </w:r>
    </w:p>
    <w:p w14:paraId="46A59150" w14:textId="77777777" w:rsidR="00F8117C" w:rsidRPr="00CB4A63" w:rsidRDefault="00F8117C" w:rsidP="00114E18">
      <w:pPr>
        <w:pStyle w:val="Sarakstarindkopa"/>
        <w:spacing w:after="120"/>
        <w:ind w:left="360"/>
        <w:jc w:val="both"/>
      </w:pPr>
    </w:p>
    <w:p w14:paraId="58C4870C" w14:textId="77777777" w:rsidR="00F8117C" w:rsidRPr="00CB4A63" w:rsidRDefault="00783893" w:rsidP="00E348AB">
      <w:pPr>
        <w:pStyle w:val="Sarakstarindkopa"/>
        <w:numPr>
          <w:ilvl w:val="0"/>
          <w:numId w:val="3"/>
        </w:numPr>
        <w:spacing w:after="120"/>
        <w:jc w:val="both"/>
      </w:pPr>
      <w:r>
        <w:t>TSO funkcijas ietver algoritmu, sistēmu un procedūru izstrādi un uzturēšanu sasaistei nākamajai dienai un diennaktij, saskaņoto jaudas kalkulatoru nodrošināto starpzonas jaudas un piešķiršanas ierobežojumu ievades datu apstrādi, cenu sasaistes veikšanu un pastāvīgu tirdzniecības algoritmu īstenošanu, kā arī nākamās dienas un diennakts sasaistes rezultātu apstiprināšanu un nosūtīšanu NETO (turpmāk – „</w:t>
      </w:r>
      <w:r>
        <w:rPr>
          <w:b/>
        </w:rPr>
        <w:t>TSO funkcijas</w:t>
      </w:r>
      <w:r>
        <w:t xml:space="preserve">”). </w:t>
      </w:r>
    </w:p>
    <w:p w14:paraId="067DC129" w14:textId="77777777" w:rsidR="00F8117C" w:rsidRPr="00CB4A63" w:rsidRDefault="00F8117C" w:rsidP="00114E18">
      <w:pPr>
        <w:pStyle w:val="Sarakstarindkopa"/>
        <w:spacing w:after="120"/>
        <w:ind w:left="360"/>
        <w:jc w:val="both"/>
      </w:pPr>
    </w:p>
    <w:p w14:paraId="216807A8" w14:textId="77777777" w:rsidR="00F8117C" w:rsidRPr="00CB4A63" w:rsidRDefault="0009353A" w:rsidP="00E348AB">
      <w:pPr>
        <w:pStyle w:val="Sarakstarindkopa"/>
        <w:numPr>
          <w:ilvl w:val="0"/>
          <w:numId w:val="3"/>
        </w:numPr>
        <w:spacing w:after="120"/>
        <w:jc w:val="both"/>
      </w:pPr>
      <w:r>
        <w:t>Šajā TSO plānā ievēroti CACM regulā noteiktie vispārējie principi un mērķi. Šis TSO plāns it īpaši ietver skaidrojumu par nepieciešamajiem līguma projektiem starp NETO un trešajām pusēm, ierosināto ieviešanas termiņu, kas nav ilgāks par 12 mēnešiem, aprakstu par gaidāmo TSO plāna ietekmi uz CACM regulas mērķiem, aprakstu par gaidāmo noteikumu vai metožu ietekmi uz TSO funkciju izveidi un īstenošanu.</w:t>
      </w:r>
    </w:p>
    <w:p w14:paraId="2EFA6FA1" w14:textId="77777777" w:rsidR="002A7F30" w:rsidRPr="00CB4A63" w:rsidRDefault="002A7F30" w:rsidP="00A16B6F">
      <w:pPr>
        <w:pStyle w:val="Sarakstarindkopa"/>
        <w:spacing w:after="120"/>
        <w:ind w:left="360"/>
        <w:jc w:val="both"/>
      </w:pPr>
    </w:p>
    <w:p w14:paraId="589944C9" w14:textId="77777777" w:rsidR="00FF33A3" w:rsidRPr="00CB4A63" w:rsidRDefault="00FF33A3" w:rsidP="00783893">
      <w:pPr>
        <w:pStyle w:val="Sarakstarindkopa"/>
        <w:numPr>
          <w:ilvl w:val="0"/>
          <w:numId w:val="3"/>
        </w:numPr>
        <w:spacing w:after="120"/>
        <w:jc w:val="both"/>
      </w:pPr>
      <w:r>
        <w:t>Pirms CACM regulas stāšanās spēkā elektroenerģijas biržas veicināja vairāku brīvprātīgu reģionālo projektu izstrādi, kā arī nākamās dienas un diennakts tirgus sasaistes risinājumu ieviešanu un izmantošanu. Šie reģionālie projekti veicināja iekšējā elektroenerģijas tirgus pabeigšanu un efektīvu tā darbību.  Efektīvai TSO plāna īstenošanai mēs ierosinām izveidot nākamās dienas un diennakts tirgus sasaisti esošiem risinājumiem, kas izstrādāti kā šo brīvprātīgo projektu daļa.</w:t>
      </w:r>
    </w:p>
    <w:p w14:paraId="0AF0AFEF" w14:textId="77777777" w:rsidR="00BF1DC5" w:rsidRPr="00CB4A63" w:rsidRDefault="00BF1DC5" w:rsidP="003D0CE5">
      <w:pPr>
        <w:pStyle w:val="Sarakstarindkopa"/>
        <w:spacing w:after="120"/>
        <w:ind w:left="360"/>
        <w:jc w:val="both"/>
      </w:pPr>
    </w:p>
    <w:p w14:paraId="4E9A204A" w14:textId="77777777" w:rsidR="006175A2" w:rsidRPr="00CB4A63" w:rsidRDefault="006175A2" w:rsidP="00B9107F">
      <w:pPr>
        <w:pStyle w:val="Sarakstarindkopa"/>
        <w:numPr>
          <w:ilvl w:val="0"/>
          <w:numId w:val="3"/>
        </w:numPr>
        <w:spacing w:after="120"/>
        <w:jc w:val="both"/>
      </w:pPr>
      <w:r>
        <w:t>Šis TSO plāns ierosina NETO pārvaldības struktūru, lai tie varētu kopā izveidot un īstenot ND TSO funkciju un DTSO funkciju, kas balstās uz risinājumiem, kas izstrādāti kā šo brīvprātīgo projektu daļa. Pārvaldības struktūra, kas ierosināta šajā TSO plānā, ietver šādus līgumus: „Visu NETO sadarbības līgumu” (turpmāk – „</w:t>
      </w:r>
      <w:r>
        <w:rPr>
          <w:b/>
        </w:rPr>
        <w:t>VNSL</w:t>
      </w:r>
      <w:r>
        <w:t xml:space="preserve">”), divus „NETO darbības līgumus” (viens – ND, otrs – D), kā arī starp NETO un trešo pušu pakalpojumu nodrošinātājiem noslēgto līgumu kopumu, kas nepieciešami TSO funkciju īstenošanai. </w:t>
      </w:r>
    </w:p>
    <w:p w14:paraId="09D5A721" w14:textId="77777777" w:rsidR="006175A2" w:rsidRPr="00CB4A63" w:rsidRDefault="006175A2" w:rsidP="00B9107F">
      <w:pPr>
        <w:pStyle w:val="Sarakstarindkopa"/>
        <w:spacing w:after="120"/>
        <w:ind w:left="360"/>
        <w:jc w:val="both"/>
      </w:pPr>
    </w:p>
    <w:p w14:paraId="64795435" w14:textId="77777777" w:rsidR="006175A2" w:rsidRPr="00CB4A63" w:rsidRDefault="006175A2" w:rsidP="00B9107F">
      <w:pPr>
        <w:pStyle w:val="Sarakstarindkopa"/>
        <w:numPr>
          <w:ilvl w:val="0"/>
          <w:numId w:val="3"/>
        </w:numPr>
        <w:spacing w:after="120"/>
        <w:jc w:val="both"/>
      </w:pPr>
      <w:r>
        <w:t>VNSL tiks izveidots, pamatojoties uz TSO plānā noteiktajiem principiem, un būs atvērts visiem NETO. TSO plāns ietver nosacījumus attiecībā uz to, ka jāpanāk, lai VNSL būtu nepieciešams parakstīt visiem izraudzītajiem NETO, kas vēlas izmantot ND vai DTSO funkciju. Tā kā NETO ir reģistrētas juridiskās personas, kuru darbību reglamentē tās valsts tiesību akti, kurās tās ir reģistrētas, visas vienošanās ar nolūku ievērot CACM regulas prasības ir ietvertas ne tikai TSO plānā, bet arī saistošā līgumā. Paredzēts, ka šādos līgumos tiks sīki izklāstītas katra NETO tiesības un pienākumi pret citiem attiecībā uz kopīgu TSO funkciju īstenošanu, kas noteiktas CACM regulas 7. pantā un 9. panta 6. punktā. Tāpat šāds līgums būs galvenais aspekts, lai nodrošinātu, ka NETO sasvstarpējā sadarbība tiek stingri ierobežota līdz līmenim, kāds nepieciešams TSO funkciju īstenošanai, kā to pieprasa CACM regulas 7. panta 4. punkts.</w:t>
      </w:r>
    </w:p>
    <w:p w14:paraId="1DA07070" w14:textId="77777777" w:rsidR="00CB6AA1" w:rsidRPr="00CB4A63" w:rsidRDefault="00CB6AA1" w:rsidP="00DA793A">
      <w:pPr>
        <w:pStyle w:val="Sarakstarindkopa"/>
        <w:spacing w:after="120"/>
        <w:ind w:left="360"/>
        <w:jc w:val="both"/>
      </w:pPr>
    </w:p>
    <w:p w14:paraId="2F0643D8" w14:textId="77777777" w:rsidR="00514E88" w:rsidRPr="00CB4A63" w:rsidRDefault="00CB6AA1" w:rsidP="00514E88">
      <w:pPr>
        <w:pStyle w:val="Sarakstarindkopa"/>
        <w:numPr>
          <w:ilvl w:val="0"/>
          <w:numId w:val="3"/>
        </w:numPr>
        <w:spacing w:after="120"/>
        <w:jc w:val="both"/>
      </w:pPr>
      <w:r>
        <w:t>ND TSO un DTSO funkcijai ierosinātās darbības pārvaldības pamatā būs TSO plānā noteiktie principi, un tiks pieņemti esošie risinājumi, kas izstrādāti kā brīvprātīgo projektu daļa.</w:t>
      </w:r>
    </w:p>
    <w:p w14:paraId="1E657011" w14:textId="77777777" w:rsidR="006175A2" w:rsidRPr="00CB4A63" w:rsidRDefault="006175A2" w:rsidP="00B9107F">
      <w:pPr>
        <w:pStyle w:val="Sarakstarindkopa"/>
        <w:spacing w:after="120"/>
        <w:ind w:left="360"/>
        <w:jc w:val="both"/>
      </w:pPr>
    </w:p>
    <w:p w14:paraId="3488F14D" w14:textId="77777777" w:rsidR="006175A2" w:rsidRPr="00CB4A63" w:rsidRDefault="00F909BC" w:rsidP="00DA793A">
      <w:pPr>
        <w:pStyle w:val="Sarakstarindkopa"/>
        <w:numPr>
          <w:ilvl w:val="0"/>
          <w:numId w:val="3"/>
        </w:numPr>
        <w:spacing w:after="120"/>
        <w:jc w:val="both"/>
      </w:pPr>
      <w:r>
        <w:t xml:space="preserve">Šis TSO plāns veido pamatu NETO līgumu noslēgšanai ar tiem ND un D pakalpojumu nodrošinātājiem, kuru pakalpojumi jau tiek izmantoti, pēc TSO plāna apstiprināšanas. </w:t>
      </w:r>
    </w:p>
    <w:p w14:paraId="049DE880" w14:textId="77777777" w:rsidR="00F76A3C" w:rsidRPr="00CB4A63" w:rsidRDefault="00F76A3C" w:rsidP="00F76A3C">
      <w:pPr>
        <w:pStyle w:val="Sarakstarindkopa"/>
      </w:pPr>
    </w:p>
    <w:p w14:paraId="38ED1B97" w14:textId="77777777" w:rsidR="00F76A3C" w:rsidRPr="00CB4A63" w:rsidRDefault="00F76A3C" w:rsidP="00F76A3C">
      <w:pPr>
        <w:pStyle w:val="Sarakstarindkopa"/>
        <w:numPr>
          <w:ilvl w:val="0"/>
          <w:numId w:val="3"/>
        </w:numPr>
        <w:spacing w:after="160" w:line="259" w:lineRule="auto"/>
      </w:pPr>
      <w:r>
        <w:t xml:space="preserve">Saskaņā ar CACM regulu NETO ir ietvēruši nepieciešamos līguma projektus. Gadījumos, kad šie līgumi vēl nav noslēgti, sniegtā satura pamatā ir precīzākā informācija, kas pieejama brīdī, kad TSO plāns tiek iesniegts VPI, un kura var mainīties. </w:t>
      </w:r>
    </w:p>
    <w:p w14:paraId="7B484652" w14:textId="77777777" w:rsidR="006175A2" w:rsidRPr="00CB4A63" w:rsidRDefault="006175A2" w:rsidP="00D7245A">
      <w:pPr>
        <w:pStyle w:val="Sarakstarindkopa"/>
        <w:spacing w:after="120"/>
        <w:ind w:left="360"/>
        <w:jc w:val="both"/>
      </w:pPr>
    </w:p>
    <w:p w14:paraId="1EBEA928" w14:textId="77777777" w:rsidR="0054041C" w:rsidRPr="00CB4A63" w:rsidRDefault="006175A2" w:rsidP="00E40BC4">
      <w:pPr>
        <w:pStyle w:val="Sarakstarindkopa"/>
        <w:numPr>
          <w:ilvl w:val="0"/>
          <w:numId w:val="3"/>
        </w:numPr>
        <w:spacing w:after="120"/>
        <w:jc w:val="both"/>
      </w:pPr>
      <w:r>
        <w:t>TSO plānā izskaidrotie NETO līgumi, kas nepieciešami TSO funkcijas izveidei, ieviešanai un izpildei, jāpapildina ar papildu „visu NETO – visu PSO” līgumiem, kā arī valstu un reģionālajiem „NETO un PSO” līgumiem, kas ir nepieciešami darbībām pirms sasaistes un pēc sasaistes. Šie papildu līgumi ir nepieciešami nākamās dienas un diennakts tirgus sasaistes darbībai, un tie ir ārpus TSO plāna darbības jomas.</w:t>
      </w:r>
    </w:p>
    <w:p w14:paraId="136C36A1" w14:textId="77777777" w:rsidR="005C50F4" w:rsidRPr="00CB4A63" w:rsidRDefault="005C50F4" w:rsidP="00E40BC4">
      <w:pPr>
        <w:pStyle w:val="Sarakstarindkopa"/>
        <w:spacing w:after="120"/>
        <w:ind w:left="360"/>
        <w:jc w:val="both"/>
      </w:pPr>
    </w:p>
    <w:p w14:paraId="397882D3" w14:textId="77777777" w:rsidR="006175A2" w:rsidRPr="00CB4A63" w:rsidRDefault="005D70D5" w:rsidP="00E40BC4">
      <w:pPr>
        <w:pStyle w:val="Sarakstarindkopa"/>
        <w:numPr>
          <w:ilvl w:val="0"/>
          <w:numId w:val="3"/>
        </w:numPr>
        <w:spacing w:after="120"/>
        <w:jc w:val="both"/>
      </w:pPr>
      <w:r>
        <w:t xml:space="preserve">TSO plāna atsauces valoda ir angļu valoda. Lai novērstu šaubas gadījumos, kad NETO nepieciešams šo TSO plānu pārtulkot attiecīgās VPI valsts valodā(-s), ja pastāv neatbilstības starp saskaņā ar CACM regulas 9. panta 14. punktu iesniegto tekstu angļu valodā un tekstu jebkurā citā valodā, attiecīgajam(-iem) NETO ir pienākums novērst visas neatbilstības, nodrošinot attiecīgajām valstu pārvaldes iestādēm šī TSO plāna pārskatītu variantu.  </w:t>
      </w:r>
    </w:p>
    <w:p w14:paraId="5F3FA54D" w14:textId="77777777" w:rsidR="00001382" w:rsidRPr="00CB4A63" w:rsidRDefault="00001382" w:rsidP="00D3363D"/>
    <w:p w14:paraId="27B57435" w14:textId="77777777" w:rsidR="00FC4E89" w:rsidRPr="00CB4A63" w:rsidRDefault="00FC4E89" w:rsidP="00FC4E89">
      <w:pPr>
        <w:pStyle w:val="Virsraksts2"/>
        <w:ind w:left="567"/>
        <w:rPr>
          <w:rFonts w:eastAsia="Times New Roman"/>
        </w:rPr>
      </w:pPr>
      <w:bookmarkStart w:id="5" w:name="_Toc479786192"/>
      <w:bookmarkStart w:id="6" w:name="_Toc484770671"/>
      <w:r>
        <w:t>Atbilstības CACM regulas 3. pantā norādītajiem mērķiem novērtēšana</w:t>
      </w:r>
      <w:bookmarkEnd w:id="5"/>
      <w:bookmarkEnd w:id="6"/>
    </w:p>
    <w:p w14:paraId="7737EB0B" w14:textId="77777777" w:rsidR="00FC4E89" w:rsidRPr="00CB4A63" w:rsidRDefault="00FC4E89" w:rsidP="000A4F05">
      <w:pPr>
        <w:pStyle w:val="Virsraksts3"/>
        <w:rPr>
          <w:rFonts w:eastAsia="Times New Roman"/>
        </w:rPr>
      </w:pPr>
      <w:bookmarkStart w:id="7" w:name="_Toc479786193"/>
      <w:bookmarkStart w:id="8" w:name="_Toc484770672"/>
      <w:r>
        <w:t>Vispārīgas piezīmes</w:t>
      </w:r>
      <w:bookmarkEnd w:id="7"/>
      <w:bookmarkEnd w:id="8"/>
    </w:p>
    <w:p w14:paraId="37410460" w14:textId="77777777" w:rsidR="00FC4E89" w:rsidRPr="00CB4A63" w:rsidRDefault="00FC4E89" w:rsidP="00174B30">
      <w:pPr>
        <w:pStyle w:val="Sarakstarindkopa"/>
        <w:numPr>
          <w:ilvl w:val="0"/>
          <w:numId w:val="100"/>
        </w:numPr>
        <w:spacing w:after="120"/>
        <w:jc w:val="both"/>
      </w:pPr>
      <w:r>
        <w:t xml:space="preserve">TSO plāna paredzētā ietekme uz CACM regulas mērķiem ir izklāstīta tālāk. Šis novērtējums ir vērsts uz šādiem mērķiem </w:t>
      </w:r>
      <w:r>
        <w:rPr>
          <w:rFonts w:ascii="Calibri" w:hAnsi="Calibri"/>
        </w:rPr>
        <w:t>(turpmāk — „</w:t>
      </w:r>
      <w:r>
        <w:rPr>
          <w:rFonts w:ascii="Calibri" w:hAnsi="Calibri"/>
          <w:b/>
        </w:rPr>
        <w:t>CACM mērķi</w:t>
      </w:r>
      <w:r>
        <w:rPr>
          <w:rFonts w:ascii="Calibri" w:hAnsi="Calibri"/>
        </w:rPr>
        <w:t>”)</w:t>
      </w:r>
      <w:r>
        <w:t xml:space="preserve">: </w:t>
      </w:r>
    </w:p>
    <w:p w14:paraId="5451A89F" w14:textId="77777777" w:rsidR="00FC4E89" w:rsidRPr="00CB4A63" w:rsidRDefault="00FC4E89" w:rsidP="00174B30">
      <w:pPr>
        <w:pStyle w:val="Sarakstarindkopa"/>
        <w:numPr>
          <w:ilvl w:val="0"/>
          <w:numId w:val="99"/>
        </w:numPr>
      </w:pPr>
      <w:r>
        <w:t>efektīvas konkurences veicināšana elektroenerģijas ražošanā, tirdzniecībā un piegādē;</w:t>
      </w:r>
    </w:p>
    <w:p w14:paraId="5BBEBC1E" w14:textId="77777777" w:rsidR="00FC4E89" w:rsidRPr="00CB4A63" w:rsidRDefault="00FC4E89" w:rsidP="00174B30">
      <w:pPr>
        <w:pStyle w:val="Sarakstarindkopa"/>
        <w:numPr>
          <w:ilvl w:val="0"/>
          <w:numId w:val="99"/>
        </w:numPr>
      </w:pPr>
      <w:r>
        <w:t xml:space="preserve">pārvades infrastruktūras optimāla izmantojuma nodrošināšana; </w:t>
      </w:r>
    </w:p>
    <w:p w14:paraId="3F43BB5E" w14:textId="77777777" w:rsidR="00FC4E89" w:rsidRPr="00CB4A63" w:rsidRDefault="00FC4E89" w:rsidP="00174B30">
      <w:pPr>
        <w:pStyle w:val="Sarakstarindkopa"/>
        <w:numPr>
          <w:ilvl w:val="0"/>
          <w:numId w:val="99"/>
        </w:numPr>
      </w:pPr>
      <w:r>
        <w:t>darbības drošības nodrošināšana;</w:t>
      </w:r>
    </w:p>
    <w:p w14:paraId="2477D147" w14:textId="77777777" w:rsidR="00FC4E89" w:rsidRPr="00CB4A63" w:rsidRDefault="00FC4E89" w:rsidP="00174B30">
      <w:pPr>
        <w:pStyle w:val="Sarakstarindkopa"/>
        <w:numPr>
          <w:ilvl w:val="0"/>
          <w:numId w:val="99"/>
        </w:numPr>
      </w:pPr>
      <w:r>
        <w:t>starpzonu jaudas aprēķināšanas un piešķiršanas optimizācija;</w:t>
      </w:r>
    </w:p>
    <w:p w14:paraId="23A45940" w14:textId="77777777" w:rsidR="00FC4E89" w:rsidRPr="00CB4A63" w:rsidRDefault="00FC4E89" w:rsidP="00174B30">
      <w:pPr>
        <w:pStyle w:val="Sarakstarindkopa"/>
        <w:numPr>
          <w:ilvl w:val="0"/>
          <w:numId w:val="99"/>
        </w:numPr>
      </w:pPr>
      <w:r>
        <w:t>taisnīgas un nediskriminējošas attieksmes pret PSO, NETO, aģentūru, pārvaldes iestādēm un tirgus dalībniekiem nodrošināšana;</w:t>
      </w:r>
    </w:p>
    <w:p w14:paraId="7300B886" w14:textId="77777777" w:rsidR="00FC4E89" w:rsidRPr="00CB4A63" w:rsidRDefault="00FC4E89" w:rsidP="00174B30">
      <w:pPr>
        <w:pStyle w:val="Sarakstarindkopa"/>
        <w:numPr>
          <w:ilvl w:val="0"/>
          <w:numId w:val="99"/>
        </w:numPr>
      </w:pPr>
      <w:r>
        <w:t xml:space="preserve">pārredzamības un informācijas ticamības nodrošināšana un uzlabošana; </w:t>
      </w:r>
    </w:p>
    <w:p w14:paraId="7DB3E96F" w14:textId="77777777" w:rsidR="00FC4E89" w:rsidRPr="00CB4A63" w:rsidRDefault="00A56AE3" w:rsidP="00174B30">
      <w:pPr>
        <w:pStyle w:val="Sarakstarindkopa"/>
        <w:numPr>
          <w:ilvl w:val="0"/>
          <w:numId w:val="99"/>
        </w:numPr>
      </w:pPr>
      <w:r>
        <w:t>elektroenerģijas pārvades sistēmas un elektroenerģijas sektora efektīvas ilgtermiņa darbības un attīstības sekmēšana Savienībā;</w:t>
      </w:r>
    </w:p>
    <w:p w14:paraId="7A0F31CB" w14:textId="77777777" w:rsidR="00FC4E89" w:rsidRPr="00CB4A63" w:rsidRDefault="00FC4E89" w:rsidP="00174B30">
      <w:pPr>
        <w:pStyle w:val="Sarakstarindkopa"/>
        <w:numPr>
          <w:ilvl w:val="0"/>
          <w:numId w:val="99"/>
        </w:numPr>
      </w:pPr>
      <w:r>
        <w:t>vajadzības nodrošināt taisnīgu un akurātu tirgu un taisnīgu un akurātu cenu veidošanu vērā ņemšana;</w:t>
      </w:r>
    </w:p>
    <w:p w14:paraId="33F63D4C" w14:textId="77777777" w:rsidR="00FC4E89" w:rsidRPr="00CB4A63" w:rsidRDefault="00FC4E89" w:rsidP="00174B30">
      <w:pPr>
        <w:pStyle w:val="Sarakstarindkopa"/>
        <w:numPr>
          <w:ilvl w:val="0"/>
          <w:numId w:val="99"/>
        </w:numPr>
      </w:pPr>
      <w:r>
        <w:t>vienādu noteikumu izveidošana visiem NETO;</w:t>
      </w:r>
    </w:p>
    <w:p w14:paraId="089A4C87" w14:textId="77777777" w:rsidR="00FC4E89" w:rsidRPr="00CB4A63" w:rsidRDefault="00FC4E89" w:rsidP="00174B30">
      <w:pPr>
        <w:pStyle w:val="Sarakstarindkopa"/>
        <w:numPr>
          <w:ilvl w:val="0"/>
          <w:numId w:val="99"/>
        </w:numPr>
      </w:pPr>
      <w:r>
        <w:t>nediskriminējošas piekļuves starpzonu jaudai nodrošināšana.</w:t>
      </w:r>
    </w:p>
    <w:p w14:paraId="22768833" w14:textId="77777777" w:rsidR="00A9410D" w:rsidRPr="00CB4A63" w:rsidRDefault="00A9410D" w:rsidP="00A9410D">
      <w:pPr>
        <w:pStyle w:val="Sarakstarindkopa"/>
        <w:spacing w:after="120"/>
        <w:ind w:left="360"/>
        <w:jc w:val="both"/>
      </w:pPr>
    </w:p>
    <w:p w14:paraId="3853C600" w14:textId="68D5BA62" w:rsidR="00FC4E89" w:rsidRPr="00CB4A63" w:rsidRDefault="00FC4E89" w:rsidP="00174B30">
      <w:pPr>
        <w:pStyle w:val="Sarakstarindkopa"/>
        <w:numPr>
          <w:ilvl w:val="0"/>
          <w:numId w:val="100"/>
        </w:numPr>
        <w:spacing w:after="120"/>
        <w:jc w:val="both"/>
      </w:pPr>
      <w:r>
        <w:t xml:space="preserve">Ierosinātās ND TSO un DTSO funkcijas pamatā ir līgumu noteikumi, procesi un sistēmas, kas jau ir izveidotas esošajos risinājumos. Tam būtu jāpalīdz nodrošināt, ka ierosinātie risinājumi atbilst CACM mērķiem.  </w:t>
      </w:r>
    </w:p>
    <w:p w14:paraId="00DFADB1" w14:textId="77777777" w:rsidR="00FC4E89" w:rsidRPr="00CB4A63" w:rsidRDefault="00FC4E89" w:rsidP="00FC4E89">
      <w:pPr>
        <w:pStyle w:val="Sarakstarindkopa"/>
        <w:spacing w:after="120"/>
        <w:ind w:left="360"/>
        <w:jc w:val="both"/>
      </w:pPr>
    </w:p>
    <w:p w14:paraId="201721EA" w14:textId="77777777" w:rsidR="00FC4E89" w:rsidRPr="00CB4A63" w:rsidRDefault="00FC4E89" w:rsidP="00174B30">
      <w:pPr>
        <w:pStyle w:val="Sarakstarindkopa"/>
        <w:numPr>
          <w:ilvl w:val="0"/>
          <w:numId w:val="100"/>
        </w:numPr>
        <w:spacing w:after="120"/>
        <w:jc w:val="both"/>
      </w:pPr>
      <w:r>
        <w:lastRenderedPageBreak/>
        <w:t>CACM mērķu sasniegšanu veicina vairāki ierosinātajai ND un DTSO funkcijai kopīgi darbības aspekti. Šie aspekti ir:</w:t>
      </w:r>
    </w:p>
    <w:p w14:paraId="327CD3D8" w14:textId="77777777" w:rsidR="00FC4E89" w:rsidRPr="00CB4A63" w:rsidRDefault="00FC4E89" w:rsidP="00541778">
      <w:pPr>
        <w:numPr>
          <w:ilvl w:val="1"/>
          <w:numId w:val="4"/>
        </w:numPr>
        <w:contextualSpacing/>
        <w:jc w:val="both"/>
      </w:pPr>
      <w:r>
        <w:t>vienota algoritma izmantošana ND periodam un vienota algoritma izmantošana D periodam, katrs no tiem paredzēts optimālai starpzonu jaudas piešķiršanai un maksimālas labklājības nodrošināšanai;</w:t>
      </w:r>
    </w:p>
    <w:p w14:paraId="79D7CF88" w14:textId="77777777" w:rsidR="00FC4E89" w:rsidRPr="00CB4A63" w:rsidRDefault="00FC4E89" w:rsidP="00541778">
      <w:pPr>
        <w:numPr>
          <w:ilvl w:val="1"/>
          <w:numId w:val="4"/>
        </w:numPr>
        <w:contextualSpacing/>
        <w:jc w:val="both"/>
      </w:pPr>
      <w:r>
        <w:t>viena atsevišķa ievades datu kopuma izmantošana visā sasaistes zonā katram periodam;</w:t>
      </w:r>
    </w:p>
    <w:p w14:paraId="67419698" w14:textId="77777777" w:rsidR="00FC4E89" w:rsidRPr="00CB4A63" w:rsidRDefault="00FC4E89" w:rsidP="00541778">
      <w:pPr>
        <w:numPr>
          <w:ilvl w:val="1"/>
          <w:numId w:val="4"/>
        </w:numPr>
        <w:contextualSpacing/>
        <w:jc w:val="both"/>
      </w:pPr>
      <w:r>
        <w:t>viena atsevišķa ievades datu rezultātu kopuma izveide visā sasaistes zonā katram periodam;</w:t>
      </w:r>
    </w:p>
    <w:p w14:paraId="5A3B22F4" w14:textId="77777777" w:rsidR="00FC4E89" w:rsidRPr="00CB4A63" w:rsidRDefault="00FC4E89" w:rsidP="00541778">
      <w:pPr>
        <w:numPr>
          <w:ilvl w:val="1"/>
          <w:numId w:val="4"/>
        </w:numPr>
        <w:contextualSpacing/>
        <w:jc w:val="both"/>
      </w:pPr>
      <w:r>
        <w:t>prasība, ka katram NETO jāsagatavo un jāapkopo algoritma ievades dati vienotā formātā saskaņā ar vietējiem noteikumiem un/vai tirgus līgumiem;</w:t>
      </w:r>
    </w:p>
    <w:p w14:paraId="29B8CD66" w14:textId="77777777" w:rsidR="00FC4E89" w:rsidRPr="00CB4A63" w:rsidRDefault="00FC4E89" w:rsidP="00541778">
      <w:pPr>
        <w:numPr>
          <w:ilvl w:val="1"/>
          <w:numId w:val="4"/>
        </w:numPr>
        <w:contextualSpacing/>
        <w:jc w:val="both"/>
      </w:pPr>
      <w:r>
        <w:t>prasība, ka attiecīgais ievades datu nodrošinātājs (PSO vai tirgus dalībnieks) atbild par ievades datu saturu saskaņā ar vietējiem noteikumiem un/vai tirgus līgumiem;</w:t>
      </w:r>
    </w:p>
    <w:p w14:paraId="31AC84F8" w14:textId="77777777" w:rsidR="00FC4E89" w:rsidRPr="00CB4A63" w:rsidRDefault="00FC4E89" w:rsidP="00541778">
      <w:pPr>
        <w:numPr>
          <w:ilvl w:val="1"/>
          <w:numId w:val="4"/>
        </w:numPr>
        <w:contextualSpacing/>
        <w:jc w:val="both"/>
      </w:pPr>
      <w:r>
        <w:t xml:space="preserve">prasība, ka katra perioda TSO rezultātiem ir jābūt atkārtojamiem un pārbaudāmiem. </w:t>
      </w:r>
    </w:p>
    <w:p w14:paraId="4275D970" w14:textId="77777777" w:rsidR="00FC4E89" w:rsidRPr="00CB4A63" w:rsidRDefault="00FC4E89" w:rsidP="00174B30">
      <w:pPr>
        <w:pStyle w:val="Sarakstarindkopa"/>
        <w:numPr>
          <w:ilvl w:val="0"/>
          <w:numId w:val="100"/>
        </w:numPr>
        <w:spacing w:after="120"/>
        <w:jc w:val="both"/>
      </w:pPr>
      <w:r>
        <w:t>Turklāt daži ND TSO funkcijas darbības aspekti veicina CACM mērķu sasniegšanu ND periodā. Tie ir norādīti 6.1.1. punktā un ir šādi:</w:t>
      </w:r>
    </w:p>
    <w:p w14:paraId="3E237222" w14:textId="77777777" w:rsidR="00FC4E89" w:rsidRPr="00CB4A63" w:rsidRDefault="00FC4E89" w:rsidP="00174B30">
      <w:pPr>
        <w:numPr>
          <w:ilvl w:val="0"/>
          <w:numId w:val="101"/>
        </w:numPr>
        <w:contextualSpacing/>
        <w:jc w:val="both"/>
      </w:pPr>
      <w:r>
        <w:t>fakts, ka koordinators/koordinatora vietnieks un visi operatori pilnīgo ievades datu failu saņem anonimizētā veidā. Tas nodrošina procesa pārredzamību, jo visas puses garantē, ka ND TSO rezultātu aprēķināšanas procesā tiek izmantoti tie paši ievades dati;</w:t>
      </w:r>
    </w:p>
    <w:p w14:paraId="70DE5106" w14:textId="77777777" w:rsidR="00FC4E89" w:rsidRPr="00CB4A63" w:rsidRDefault="00FC4E89" w:rsidP="00174B30">
      <w:pPr>
        <w:numPr>
          <w:ilvl w:val="0"/>
          <w:numId w:val="101"/>
        </w:numPr>
        <w:contextualSpacing/>
        <w:jc w:val="both"/>
      </w:pPr>
      <w:r>
        <w:t>katra NETO tiesības, pildot operatora funkcijas, aprēķināt rezultātus paralēli koordinatoram un koordinatora vietniekam;</w:t>
      </w:r>
    </w:p>
    <w:p w14:paraId="1BD748BF" w14:textId="77777777" w:rsidR="00FC4E89" w:rsidRPr="00CB4A63" w:rsidRDefault="00FC4E89" w:rsidP="00174B30">
      <w:pPr>
        <w:numPr>
          <w:ilvl w:val="0"/>
          <w:numId w:val="101"/>
        </w:numPr>
        <w:contextualSpacing/>
        <w:jc w:val="both"/>
      </w:pPr>
      <w:r>
        <w:t xml:space="preserve">katram NETO noteiktais pienākums (tieši vai kopā ar tā apkalpojošo NETO) apstiprināt tā rezultātus un būt atbildīgam (decentralizētā veidā) par saviem rezultātiem; </w:t>
      </w:r>
    </w:p>
    <w:p w14:paraId="2D0E7AB7" w14:textId="77777777" w:rsidR="00FC4E89" w:rsidRPr="00CB4A63" w:rsidRDefault="00FC4E89" w:rsidP="00174B30">
      <w:pPr>
        <w:numPr>
          <w:ilvl w:val="0"/>
          <w:numId w:val="101"/>
        </w:numPr>
        <w:contextualSpacing/>
        <w:jc w:val="both"/>
      </w:pPr>
      <w:r>
        <w:t>fakts, ka tiklīdz visi NETO beidzot ir pieņēmuši rezultātus, tie ir pilnībā nemaināmi, un neviens NETO nevar apstrīdēt pieņemtos rezultātus vai iesniegt pretenzijas pret citiem NETO, tostarp koordinatoru.</w:t>
      </w:r>
    </w:p>
    <w:p w14:paraId="1F868238" w14:textId="77777777" w:rsidR="00FC4E89" w:rsidRPr="00CB4A63" w:rsidRDefault="00FC4E89" w:rsidP="00174B30">
      <w:pPr>
        <w:pStyle w:val="Sarakstarindkopa"/>
        <w:numPr>
          <w:ilvl w:val="0"/>
          <w:numId w:val="100"/>
        </w:numPr>
        <w:spacing w:after="120"/>
        <w:jc w:val="both"/>
      </w:pPr>
      <w:r>
        <w:t>7.1.1. punkta 2.-8. apakšpunktā minētie aspekti nodrošina DTSO funkcijas CACM mērķu sasniegšanu.</w:t>
      </w:r>
    </w:p>
    <w:p w14:paraId="063E599E" w14:textId="77777777" w:rsidR="00541778" w:rsidRPr="00CB4A63" w:rsidRDefault="00541778" w:rsidP="00541778">
      <w:pPr>
        <w:pStyle w:val="Sarakstarindkopa"/>
        <w:spacing w:after="120"/>
        <w:ind w:left="360"/>
        <w:jc w:val="both"/>
      </w:pPr>
    </w:p>
    <w:p w14:paraId="2100A983" w14:textId="77777777" w:rsidR="00541778" w:rsidRPr="00CB4A63" w:rsidRDefault="00FC4E89" w:rsidP="00174B30">
      <w:pPr>
        <w:pStyle w:val="Sarakstarindkopa"/>
        <w:numPr>
          <w:ilvl w:val="0"/>
          <w:numId w:val="100"/>
        </w:numPr>
        <w:spacing w:after="120"/>
        <w:jc w:val="both"/>
      </w:pPr>
      <w:r>
        <w:t>Visbeidzot, fakts, ka esošo risinājumu izstrāde un ieviešana tiek veikta kopā ar PSO, palīdzēs nodrošināt darbības drošību, nodrošināt TSO plāna atbilstību CACM regulas 3. panta b), c), d), e), h), i) un j) apakšpunkta prasībām.</w:t>
      </w:r>
    </w:p>
    <w:p w14:paraId="3173D963" w14:textId="77777777" w:rsidR="00541778" w:rsidRPr="00CB4A63" w:rsidRDefault="00541778" w:rsidP="00541778">
      <w:pPr>
        <w:pStyle w:val="Sarakstarindkopa"/>
        <w:spacing w:after="120"/>
        <w:ind w:left="360"/>
        <w:jc w:val="both"/>
      </w:pPr>
    </w:p>
    <w:p w14:paraId="446779CA" w14:textId="77777777" w:rsidR="00FC4E89" w:rsidRPr="00CB4A63" w:rsidRDefault="00830F63" w:rsidP="00174B30">
      <w:pPr>
        <w:pStyle w:val="Sarakstarindkopa"/>
        <w:numPr>
          <w:ilvl w:val="0"/>
          <w:numId w:val="100"/>
        </w:numPr>
        <w:spacing w:after="120"/>
        <w:jc w:val="both"/>
      </w:pPr>
      <w:r>
        <w:t xml:space="preserve">1.1.2.-1.1.10. punktā mēs sniedzam katram mērķim atbilstošo papildinformāciju.  </w:t>
      </w:r>
    </w:p>
    <w:p w14:paraId="50B81785" w14:textId="77777777" w:rsidR="00FC4E89" w:rsidRPr="00CB4A63" w:rsidRDefault="00FC4E89" w:rsidP="00830F63">
      <w:pPr>
        <w:pStyle w:val="Virsraksts3"/>
      </w:pPr>
      <w:bookmarkStart w:id="9" w:name="_Toc479786194"/>
      <w:bookmarkStart w:id="10" w:name="_Toc484770673"/>
      <w:r>
        <w:t>Mērķa „a) efektīvas konkurences veicināšana elektroenerģijas ražošanā, tirdzniecībā un piegādē” novērtēšana</w:t>
      </w:r>
      <w:bookmarkEnd w:id="9"/>
      <w:bookmarkEnd w:id="10"/>
    </w:p>
    <w:p w14:paraId="416B1AB0" w14:textId="77777777" w:rsidR="00FC4E89" w:rsidRPr="00CB4A63" w:rsidRDefault="00FC4E89" w:rsidP="00174B30">
      <w:pPr>
        <w:pStyle w:val="Sarakstarindkopa"/>
        <w:numPr>
          <w:ilvl w:val="0"/>
          <w:numId w:val="104"/>
        </w:numPr>
        <w:spacing w:after="120"/>
        <w:jc w:val="both"/>
      </w:pPr>
      <w:r>
        <w:t>Papildus 1.1.1. punktā veiktajam novērtējumam ND periodam 6.1.2., 6.1.3. un 6.1.4. punktā un D periodam 7.1.1.2., 7.1.1.3., 7.2., 7.2.1. un 7.2.2. punktā aprakstītā arhitektūra, principi un procedūra ir paredzēta, lai, citu mērķu starpā, veicinātu efektīvu konkurenci elektroenerģijas ģenerēšanā, tirdzniecībā un piegādē.</w:t>
      </w:r>
    </w:p>
    <w:p w14:paraId="44EBB5D1" w14:textId="77777777" w:rsidR="00FC4E89" w:rsidRPr="00CB4A63" w:rsidRDefault="00FC4E89" w:rsidP="00830F63">
      <w:pPr>
        <w:pStyle w:val="Virsraksts3"/>
      </w:pPr>
      <w:bookmarkStart w:id="11" w:name="_Toc479786195"/>
      <w:bookmarkStart w:id="12" w:name="_Toc484770674"/>
      <w:r>
        <w:t>Mērķa „b) pārvades infrastruktūras optimāla izmantojuma nodrošināšana” un „c) darbības drošības nodrošināšana” novērtēšana</w:t>
      </w:r>
      <w:bookmarkEnd w:id="11"/>
      <w:bookmarkEnd w:id="12"/>
    </w:p>
    <w:p w14:paraId="21AAF1A3" w14:textId="77777777" w:rsidR="00FC4E89" w:rsidRPr="00CB4A63" w:rsidRDefault="00FC4E89" w:rsidP="00174B30">
      <w:pPr>
        <w:pStyle w:val="Sarakstarindkopa"/>
        <w:numPr>
          <w:ilvl w:val="0"/>
          <w:numId w:val="102"/>
        </w:numPr>
        <w:spacing w:after="120"/>
        <w:jc w:val="both"/>
      </w:pPr>
      <w:r>
        <w:t>Darbības aspekti, kas minēti 1.1. un 1.1.1. punktā, ir paredzēti, lai nodrošinātu šo mērķu sasniegšanu.</w:t>
      </w:r>
    </w:p>
    <w:p w14:paraId="3604C478" w14:textId="77777777" w:rsidR="00FC4E89" w:rsidRPr="00CB4A63" w:rsidRDefault="00FC4E89" w:rsidP="00830F63">
      <w:pPr>
        <w:pStyle w:val="Virsraksts3"/>
      </w:pPr>
      <w:bookmarkStart w:id="13" w:name="_Toc479786196"/>
      <w:bookmarkStart w:id="14" w:name="_Toc484770675"/>
      <w:r>
        <w:lastRenderedPageBreak/>
        <w:t>Mērķa „d) starpzonu jaudas aprēķināšanas un piešķiršanas optimizācija” novērtēšana</w:t>
      </w:r>
      <w:bookmarkEnd w:id="13"/>
      <w:bookmarkEnd w:id="14"/>
    </w:p>
    <w:p w14:paraId="6FF209A8" w14:textId="77777777" w:rsidR="00FC4E89" w:rsidRPr="00CB4A63" w:rsidRDefault="00FC4E89" w:rsidP="00174B30">
      <w:pPr>
        <w:pStyle w:val="Sarakstarindkopa"/>
        <w:numPr>
          <w:ilvl w:val="0"/>
          <w:numId w:val="103"/>
        </w:numPr>
        <w:spacing w:after="120"/>
        <w:jc w:val="both"/>
      </w:pPr>
      <w:r>
        <w:t xml:space="preserve">Starpzonu jaudas aprēķināšanas un piešķiršanas optimizācija galvenokārt ir atkarīga no ND un D algoritmu iezīmēm – tās ir aprakstītas atsevišķā metožu kopumā. </w:t>
      </w:r>
    </w:p>
    <w:p w14:paraId="3369589C" w14:textId="77777777" w:rsidR="00830F63" w:rsidRPr="00CB4A63" w:rsidRDefault="00830F63" w:rsidP="00830F63">
      <w:pPr>
        <w:pStyle w:val="Sarakstarindkopa"/>
        <w:spacing w:after="120"/>
        <w:ind w:left="360"/>
        <w:jc w:val="both"/>
      </w:pPr>
    </w:p>
    <w:p w14:paraId="6B7925C5" w14:textId="77777777" w:rsidR="00FC4E89" w:rsidRPr="00CB4A63" w:rsidRDefault="00FC4E89" w:rsidP="00174B30">
      <w:pPr>
        <w:pStyle w:val="Sarakstarindkopa"/>
        <w:numPr>
          <w:ilvl w:val="0"/>
          <w:numId w:val="103"/>
        </w:numPr>
        <w:spacing w:after="120"/>
        <w:jc w:val="both"/>
      </w:pPr>
      <w:r>
        <w:t xml:space="preserve">Ciktāl tas attiecas uz TSO plānu, 1.1. un 1.1.1. punktā minēto darbības aspektu un konkrēto algoritma iezīmju mērķis ir nodrošināt optimālu starpzonu jaudas aprēķināšanu un piešķiršanu. </w:t>
      </w:r>
    </w:p>
    <w:p w14:paraId="21AAF340" w14:textId="77777777" w:rsidR="00FC4E89" w:rsidRPr="00CB4A63" w:rsidRDefault="00FC4E89" w:rsidP="00830F63">
      <w:pPr>
        <w:pStyle w:val="Virsraksts3"/>
      </w:pPr>
      <w:bookmarkStart w:id="15" w:name="_Toc479786197"/>
      <w:bookmarkStart w:id="16" w:name="_Toc484770676"/>
      <w:r>
        <w:t>Mērķa „e) taisnīgas un nediskriminējošas attieksmes pret PSO, NETO, aģentūru, pārvaldes iestādēm un tirgus dalībniekiem nodrošināšana” novērtēšana</w:t>
      </w:r>
      <w:bookmarkEnd w:id="15"/>
      <w:bookmarkEnd w:id="16"/>
    </w:p>
    <w:p w14:paraId="36429B51" w14:textId="380C7828" w:rsidR="00FC4E89" w:rsidRPr="00CB4A63" w:rsidRDefault="00E20912" w:rsidP="00174B30">
      <w:pPr>
        <w:pStyle w:val="Sarakstarindkopa"/>
        <w:numPr>
          <w:ilvl w:val="0"/>
          <w:numId w:val="105"/>
        </w:numPr>
        <w:spacing w:after="120"/>
        <w:jc w:val="both"/>
      </w:pPr>
      <w:r>
        <w:t xml:space="preserve">TSO plāns nekādā veidā neierobežo NETO atbildību nodrošināt godīgu un nediskriminējošu attieksmi pret PSO, NETO, aģentūru, pārvaldes iestādēm un tirgus dalībniekiem un izveidot vienādus noteikumus visiem NETO saskaņā ar CACM regulu atbilstoši šajā TSO plānā ietvertajiem principiem un citām atbilstošām metodēm vai noteikumiem, kas norādīti CACM regulas 9. pantā.  Kompetentās pārvaldes iestādes novērtē un apstiprina šādas metodes un var pieprasīt izmaiņu veikšanu. Tām ir tiesības pēc pieprasījuma piekļūt jebkādiem pamatā esošiem līgumiem un dokumentācijai.  </w:t>
      </w:r>
    </w:p>
    <w:p w14:paraId="344D4DB1" w14:textId="77777777" w:rsidR="00FC4E89" w:rsidRPr="00CB4A63" w:rsidRDefault="00FC4E89" w:rsidP="00174B30">
      <w:pPr>
        <w:pStyle w:val="Sarakstarindkopa"/>
        <w:numPr>
          <w:ilvl w:val="0"/>
          <w:numId w:val="105"/>
        </w:numPr>
        <w:spacing w:after="120"/>
        <w:jc w:val="both"/>
      </w:pPr>
      <w:r>
        <w:t xml:space="preserve">Visām NETO jānodrošina godīga un nediskriminējoša attieksme, cita starpā, veicot šādas kopīgas darbības: </w:t>
      </w:r>
    </w:p>
    <w:p w14:paraId="14AA3BEC" w14:textId="77777777" w:rsidR="00FC4E89" w:rsidRPr="00CB4A63" w:rsidRDefault="00FC4E89" w:rsidP="00174B30">
      <w:pPr>
        <w:numPr>
          <w:ilvl w:val="0"/>
          <w:numId w:val="106"/>
        </w:numPr>
        <w:contextualSpacing/>
        <w:jc w:val="both"/>
      </w:pPr>
      <w:r>
        <w:t>iesniedzot informāciju un nepieciešamos pārskatus aģentūrai, ENTSO-E, pārvaldes iestādēm un Eiropas Komisijai, kā to pieprasa CACM regulas PSO un izklāstīts 4.2. punkta 5. apakšpunkta e) daļā;</w:t>
      </w:r>
    </w:p>
    <w:p w14:paraId="61C97E2F" w14:textId="77777777" w:rsidR="00FC4E89" w:rsidRPr="00CB4A63" w:rsidRDefault="00FC4E89" w:rsidP="00174B30">
      <w:pPr>
        <w:numPr>
          <w:ilvl w:val="0"/>
          <w:numId w:val="106"/>
        </w:numPr>
        <w:contextualSpacing/>
        <w:jc w:val="both"/>
      </w:pPr>
      <w:r>
        <w:t>sniedzot informāciju ENTSO-E, ja to kopīgi pieprasījusi aģentūra un ENTSO-E, kā izklāstīts 4.2. punkta 5. apakšpunkta f) daļā;</w:t>
      </w:r>
    </w:p>
    <w:p w14:paraId="09FACCC9" w14:textId="77777777" w:rsidR="00FC4E89" w:rsidRPr="00CB4A63" w:rsidRDefault="00FC4E89" w:rsidP="00174B30">
      <w:pPr>
        <w:numPr>
          <w:ilvl w:val="0"/>
          <w:numId w:val="106"/>
        </w:numPr>
        <w:contextualSpacing/>
        <w:jc w:val="both"/>
      </w:pPr>
      <w:r>
        <w:t>nodrošinot ieinteresētajām pusēm gada pārskatu par progresu, kā arī vienlaicīgi ieviešot un izpildot ND TSO funkciju un DTSO funkciju.</w:t>
      </w:r>
    </w:p>
    <w:p w14:paraId="758EEA39" w14:textId="77777777" w:rsidR="002D55FD" w:rsidRPr="00CB4A63" w:rsidRDefault="002D55FD" w:rsidP="002D55FD">
      <w:pPr>
        <w:pStyle w:val="Sarakstarindkopa"/>
        <w:spacing w:after="120"/>
        <w:ind w:left="360"/>
        <w:jc w:val="both"/>
      </w:pPr>
    </w:p>
    <w:p w14:paraId="06BC772F" w14:textId="77777777" w:rsidR="00FC4E89" w:rsidRPr="00CB4A63" w:rsidRDefault="005B4E1B" w:rsidP="00174B30">
      <w:pPr>
        <w:pStyle w:val="Sarakstarindkopa"/>
        <w:numPr>
          <w:ilvl w:val="0"/>
          <w:numId w:val="105"/>
        </w:numPr>
        <w:spacing w:after="120"/>
        <w:jc w:val="both"/>
      </w:pPr>
      <w:r>
        <w:t>TSO plānā piedāvātā pārvaldības struktūra un saistītās procedūras, kas ND periodam norādītas 6.1.-6.2. punktā, bet D periodam — 7.1.-7.2. punktā, ir paredzētas, lai nodrošinātu taisnīgu un vienlīdzīgu attieksmi pret visiem iesaistītajiem NETO, PSO un tirgus dalībniekiem saskaņā ar CACM regulas 3. panta c) apakšpunktu.</w:t>
      </w:r>
    </w:p>
    <w:p w14:paraId="0734FDE6" w14:textId="77777777" w:rsidR="005B4E1B" w:rsidRPr="00CB4A63" w:rsidRDefault="005B4E1B" w:rsidP="00D73A69">
      <w:pPr>
        <w:pStyle w:val="Sarakstarindkopa"/>
      </w:pPr>
    </w:p>
    <w:p w14:paraId="16FD2065" w14:textId="77777777" w:rsidR="00FC4E89" w:rsidRPr="00CB4A63" w:rsidRDefault="00FC4E89" w:rsidP="00830F63">
      <w:pPr>
        <w:pStyle w:val="Virsraksts3"/>
      </w:pPr>
      <w:bookmarkStart w:id="17" w:name="_Toc479786198"/>
      <w:bookmarkStart w:id="18" w:name="_Toc484770677"/>
      <w:r>
        <w:t>Mērķa „f) pārredzamības un informācijas ticamības nodrošināšana un uzlabošana” novērtēšana</w:t>
      </w:r>
      <w:bookmarkEnd w:id="17"/>
      <w:bookmarkEnd w:id="18"/>
      <w:r>
        <w:t xml:space="preserve"> </w:t>
      </w:r>
    </w:p>
    <w:p w14:paraId="07D0933E" w14:textId="2AE738A7" w:rsidR="00FC4E89" w:rsidRPr="00CB4A63" w:rsidRDefault="00FC4E89" w:rsidP="00174B30">
      <w:pPr>
        <w:pStyle w:val="Sarakstarindkopa"/>
        <w:numPr>
          <w:ilvl w:val="0"/>
          <w:numId w:val="107"/>
        </w:numPr>
        <w:spacing w:after="120"/>
        <w:jc w:val="both"/>
      </w:pPr>
      <w:r>
        <w:t>Šis TSO plāns nodrošinās un uzlabos pārredzamību un informācijas ticamību trīs galvenajos veidos:</w:t>
      </w:r>
    </w:p>
    <w:p w14:paraId="67AD6F1D" w14:textId="77777777" w:rsidR="00FC4E89" w:rsidRPr="00CB4A63" w:rsidRDefault="00FC4E89" w:rsidP="00174B30">
      <w:pPr>
        <w:numPr>
          <w:ilvl w:val="0"/>
          <w:numId w:val="108"/>
        </w:numPr>
        <w:contextualSpacing/>
        <w:jc w:val="both"/>
      </w:pPr>
      <w:r>
        <w:t>pildot ziņošanas pienākumus, kas norādīti iepriekš 1.1.5. punktā;</w:t>
      </w:r>
    </w:p>
    <w:p w14:paraId="038C9138" w14:textId="77777777" w:rsidR="00FC4E89" w:rsidRPr="00CB4A63" w:rsidRDefault="00FC4E89" w:rsidP="00174B30">
      <w:pPr>
        <w:numPr>
          <w:ilvl w:val="0"/>
          <w:numId w:val="108"/>
        </w:numPr>
        <w:contextualSpacing/>
        <w:jc w:val="both"/>
      </w:pPr>
      <w:r>
        <w:t xml:space="preserve">izmantojot pārvaldības struktūru, kas norādīta 1.1.5. punktā; </w:t>
      </w:r>
    </w:p>
    <w:p w14:paraId="42ABB11D" w14:textId="77777777" w:rsidR="00FC4E89" w:rsidRPr="00CB4A63" w:rsidRDefault="00FC4E89" w:rsidP="00174B30">
      <w:pPr>
        <w:numPr>
          <w:ilvl w:val="0"/>
          <w:numId w:val="108"/>
        </w:numPr>
        <w:contextualSpacing/>
        <w:jc w:val="both"/>
      </w:pPr>
      <w:r>
        <w:t>izmantojot konkrētas darbības iezīmes, kas ND periodam norādītas 6.1.2., 6.1.3. un 6.1.4. punktā, bet D periodam — 7.1.1.2., 7.1.1.3., 7.2., 7.2.1. un 7.2.2. punktā.</w:t>
      </w:r>
    </w:p>
    <w:p w14:paraId="4FB67FF9" w14:textId="77777777" w:rsidR="00FC4E89" w:rsidRPr="00CB4A63" w:rsidRDefault="00FC4E89" w:rsidP="00830F63">
      <w:pPr>
        <w:pStyle w:val="Virsraksts3"/>
      </w:pPr>
      <w:bookmarkStart w:id="19" w:name="_Toc479786199"/>
      <w:bookmarkStart w:id="20" w:name="_Toc484770678"/>
      <w:r>
        <w:t>Mērķa „g) elektroenerģijas pārvades sistēmas un elektroenerģijas sektora efektīvas ilgtermiņa darbības un attīstības sekmēšana Savienībā” novērtēšana</w:t>
      </w:r>
      <w:bookmarkEnd w:id="19"/>
      <w:bookmarkEnd w:id="20"/>
    </w:p>
    <w:p w14:paraId="27585684" w14:textId="77777777" w:rsidR="00FC4E89" w:rsidRPr="00CB4A63" w:rsidRDefault="00FC4E89" w:rsidP="00174B30">
      <w:pPr>
        <w:pStyle w:val="Sarakstarindkopa"/>
        <w:numPr>
          <w:ilvl w:val="0"/>
          <w:numId w:val="110"/>
        </w:numPr>
        <w:spacing w:after="120"/>
        <w:jc w:val="both"/>
      </w:pPr>
      <w:r>
        <w:t>Šis TSO plāns nodrošinās šī mērķa sasniegšanu, veicot šādas darbības:</w:t>
      </w:r>
    </w:p>
    <w:p w14:paraId="02FBBE61" w14:textId="67C8D2CF" w:rsidR="00FC4E89" w:rsidRPr="00CB4A63" w:rsidRDefault="00FC4E89" w:rsidP="00174B30">
      <w:pPr>
        <w:numPr>
          <w:ilvl w:val="0"/>
          <w:numId w:val="109"/>
        </w:numPr>
        <w:contextualSpacing/>
        <w:jc w:val="both"/>
      </w:pPr>
      <w:r>
        <w:t xml:space="preserve">izmantojot līgumu noteikumus, procesus un sistēmas, kas jau ir izveidotas esošajos risinājumos; </w:t>
      </w:r>
    </w:p>
    <w:p w14:paraId="0EC33A1A" w14:textId="77777777" w:rsidR="00FC4E89" w:rsidRPr="00CB4A63" w:rsidRDefault="00FC4E89" w:rsidP="00174B30">
      <w:pPr>
        <w:numPr>
          <w:ilvl w:val="0"/>
          <w:numId w:val="109"/>
        </w:numPr>
        <w:contextualSpacing/>
        <w:jc w:val="both"/>
      </w:pPr>
      <w:r>
        <w:lastRenderedPageBreak/>
        <w:t>izveidojot stabilu pārvaldības struktūru, kas ir atvērta kompetento pārvaldes iestāžu un ieinteresēto pušu pārbaudēm un kuras pamatā ir saistoši juridiskie līgumi starp NETO;</w:t>
      </w:r>
    </w:p>
    <w:p w14:paraId="7298A706" w14:textId="77777777" w:rsidR="00FC4E89" w:rsidRPr="00CB4A63" w:rsidRDefault="00FC4E89" w:rsidP="00174B30">
      <w:pPr>
        <w:numPr>
          <w:ilvl w:val="0"/>
          <w:numId w:val="109"/>
        </w:numPr>
        <w:contextualSpacing/>
        <w:jc w:val="both"/>
      </w:pPr>
      <w:r>
        <w:t xml:space="preserve">izveidojot stingras darbības procedūras, tostarp attiecīgā gadījumā, sadarbībā ar PSO. </w:t>
      </w:r>
    </w:p>
    <w:p w14:paraId="654C8F22" w14:textId="77777777" w:rsidR="00FC4E89" w:rsidRPr="00CB4A63" w:rsidRDefault="00FC4E89" w:rsidP="00830F63">
      <w:pPr>
        <w:pStyle w:val="Virsraksts3"/>
      </w:pPr>
      <w:bookmarkStart w:id="21" w:name="_Toc479786200"/>
      <w:bookmarkStart w:id="22" w:name="_Toc484770679"/>
      <w:r>
        <w:t>Mērķa „h) vajadzības nodrošināt taisnīgu un akurātu tirgu un taisnīgu un akurātu cenu veidošanu vērā ņemšana” novērtēšana</w:t>
      </w:r>
      <w:bookmarkEnd w:id="21"/>
      <w:bookmarkEnd w:id="22"/>
    </w:p>
    <w:p w14:paraId="451BF23A" w14:textId="77777777" w:rsidR="00FC4E89" w:rsidRPr="00CB4A63" w:rsidRDefault="00FC4E89" w:rsidP="00174B30">
      <w:pPr>
        <w:pStyle w:val="Sarakstarindkopa"/>
        <w:numPr>
          <w:ilvl w:val="0"/>
          <w:numId w:val="111"/>
        </w:numPr>
        <w:spacing w:after="120"/>
        <w:jc w:val="both"/>
      </w:pPr>
      <w:r>
        <w:t xml:space="preserve">ND periodam procedūras, lai nodrošinātu taisnīgu un akurātu cenu noteikšanu, ir norādītas 6.1.3. punktā par </w:t>
      </w:r>
      <w:bookmarkStart w:id="23" w:name="_Toc448406747"/>
      <w:r>
        <w:t>darbību secību tirgus sasaistes sesijā</w:t>
      </w:r>
      <w:bookmarkEnd w:id="23"/>
      <w:r>
        <w:t xml:space="preserve"> un 6.1.4. punktā par </w:t>
      </w:r>
      <w:bookmarkStart w:id="24" w:name="_Toc448406748"/>
      <w:r>
        <w:t>nākamās dienas tirgus sasaistes sesijas rezultātu apstiprināšanu</w:t>
      </w:r>
      <w:bookmarkEnd w:id="24"/>
      <w:r>
        <w:t>.</w:t>
      </w:r>
    </w:p>
    <w:p w14:paraId="5C2883F8" w14:textId="77777777" w:rsidR="003072E0" w:rsidRPr="00CB4A63" w:rsidRDefault="003072E0" w:rsidP="003072E0">
      <w:pPr>
        <w:pStyle w:val="Sarakstarindkopa"/>
        <w:spacing w:after="120"/>
        <w:ind w:left="360"/>
        <w:jc w:val="both"/>
      </w:pPr>
    </w:p>
    <w:p w14:paraId="195BA653" w14:textId="77777777" w:rsidR="00FC4E89" w:rsidRPr="00CB4A63" w:rsidRDefault="00FC4E89" w:rsidP="00174B30">
      <w:pPr>
        <w:pStyle w:val="Sarakstarindkopa"/>
        <w:numPr>
          <w:ilvl w:val="0"/>
          <w:numId w:val="111"/>
        </w:numPr>
        <w:spacing w:after="120"/>
        <w:jc w:val="both"/>
      </w:pPr>
      <w:r>
        <w:t>D periodam šādas procedūras ir norādītas 7.1.1.2. punktā par starprobežu saskaņošanu nepārtrauktas tirdzniecības periodā un 7.1.1.3. punktā par diennakts tirgus sasaistes rezultātu apstiprināšanu.</w:t>
      </w:r>
    </w:p>
    <w:p w14:paraId="6C0880D6" w14:textId="77777777" w:rsidR="00FC4E89" w:rsidRPr="00CB4A63" w:rsidRDefault="00FC4E89" w:rsidP="00830F63">
      <w:pPr>
        <w:pStyle w:val="Virsraksts3"/>
      </w:pPr>
      <w:bookmarkStart w:id="25" w:name="_Toc479786201"/>
      <w:bookmarkStart w:id="26" w:name="_Toc484770680"/>
      <w:r>
        <w:t>Mērķa „i) vienādu noteikumu izveidošana visiem NETO” novērtēšana</w:t>
      </w:r>
      <w:bookmarkEnd w:id="25"/>
      <w:bookmarkEnd w:id="26"/>
    </w:p>
    <w:p w14:paraId="1D4384E9" w14:textId="77777777" w:rsidR="00FC4E89" w:rsidRPr="00CB4A63" w:rsidRDefault="00FC4E89" w:rsidP="00174B30">
      <w:pPr>
        <w:pStyle w:val="Sarakstarindkopa"/>
        <w:numPr>
          <w:ilvl w:val="0"/>
          <w:numId w:val="112"/>
        </w:numPr>
        <w:spacing w:after="120"/>
        <w:jc w:val="both"/>
      </w:pPr>
      <w:r>
        <w:t>Šis TSO plāns paredz līguma struktūru (norādīta 3.1. punktā), kura paredzēta, lai izveidotu vienlīdzīgus noteikumus visiem NETO, ciktāl tas saistīts ar kopīgas TSO funkcijas izpildes aspektiem.</w:t>
      </w:r>
    </w:p>
    <w:p w14:paraId="424E992A" w14:textId="77777777" w:rsidR="00FC4E89" w:rsidRPr="00CB4A63" w:rsidRDefault="00FC4E89" w:rsidP="003072E0">
      <w:pPr>
        <w:pStyle w:val="Sarakstarindkopa"/>
        <w:spacing w:after="120"/>
        <w:ind w:left="360"/>
        <w:jc w:val="both"/>
      </w:pPr>
    </w:p>
    <w:p w14:paraId="5C56B4C7" w14:textId="77777777" w:rsidR="00FC4E89" w:rsidRPr="00CB4A63" w:rsidRDefault="00A34071" w:rsidP="00174B30">
      <w:pPr>
        <w:pStyle w:val="Sarakstarindkopa"/>
        <w:numPr>
          <w:ilvl w:val="0"/>
          <w:numId w:val="112"/>
        </w:numPr>
        <w:spacing w:after="120"/>
        <w:jc w:val="both"/>
      </w:pPr>
      <w:r>
        <w:t>Galvenie elementi, kas nodrošinās, ka kopīga TSO funkciju izpilde izveidos vienādus noteikumus visiem NETO, ietver:</w:t>
      </w:r>
    </w:p>
    <w:p w14:paraId="05620BF1" w14:textId="77777777" w:rsidR="00FC4E89" w:rsidRPr="00CB4A63" w:rsidRDefault="00FC4E89" w:rsidP="00174B30">
      <w:pPr>
        <w:numPr>
          <w:ilvl w:val="0"/>
          <w:numId w:val="113"/>
        </w:numPr>
        <w:contextualSpacing/>
        <w:jc w:val="both"/>
      </w:pPr>
      <w:r>
        <w:t>prasību, ka visiem NETO jāparaksta VNSL, kas paredz NETO savstarpējās sadarbības noteikumus un izveido visu NETO komiteju, kā to galveno institūciju, lai veicinātu visu NETO lēmumu pieņemšanas procesu. Par VNSL vienprātīgi jāvienojas visiem NETO, un tas ir īpaši izveidots, lai tam varētu pievienot jaunas puses;</w:t>
      </w:r>
    </w:p>
    <w:p w14:paraId="1D70C145" w14:textId="77777777" w:rsidR="00FC4E89" w:rsidRPr="00CB4A63" w:rsidRDefault="00FC4E89" w:rsidP="00174B30">
      <w:pPr>
        <w:numPr>
          <w:ilvl w:val="0"/>
          <w:numId w:val="113"/>
        </w:numPr>
        <w:contextualSpacing/>
        <w:jc w:val="both"/>
      </w:pPr>
      <w:r>
        <w:t xml:space="preserve">Prasība, ka visiem NETO, kas izraudzīti NDS un DS ieviešanai, jāparaksta ND un/vai D darbības līgums, kas paredz NETO sadarbības noteikumus saskaņā ar CACM regulas 7. pantu. Šie līgumi tiks īpaši izveidoti, lai tiem varētu pievienot jaunas puses; </w:t>
      </w:r>
    </w:p>
    <w:p w14:paraId="09B327B2" w14:textId="77777777" w:rsidR="00FC4E89" w:rsidRPr="00CB4A63" w:rsidRDefault="00FC4E89" w:rsidP="00174B30">
      <w:pPr>
        <w:numPr>
          <w:ilvl w:val="0"/>
          <w:numId w:val="113"/>
        </w:numPr>
        <w:contextualSpacing/>
        <w:jc w:val="both"/>
      </w:pPr>
      <w:r>
        <w:t>jomas, kurās sadarbību regulēs NETO ND darbības līgums, ir norādītas 5.1.2. punkta 4. apakšpunktā, savukārt jomas, kurās sadarbību regulēs NETO D darbības līgums, ir norādītas 5.2.2. punkta 13. apakšpunktā.  Tajos ietvertas turpmākas garantijas:</w:t>
      </w:r>
    </w:p>
    <w:p w14:paraId="390690E9" w14:textId="77777777" w:rsidR="00FC4E89" w:rsidRPr="00CB4A63" w:rsidRDefault="00FC4E89" w:rsidP="003072E0">
      <w:pPr>
        <w:pStyle w:val="Sarakstarindkopa"/>
        <w:numPr>
          <w:ilvl w:val="2"/>
          <w:numId w:val="6"/>
        </w:numPr>
        <w:spacing w:after="120"/>
        <w:jc w:val="both"/>
      </w:pPr>
      <w:r>
        <w:t xml:space="preserve">ja attiecīgo NETO starpā netiek panākta vienprātība par lēmumu, kas pieņemts, pildot pienākumus D vai ND darbības līguma ietvaros, lēmums tiek pāradresēts visu NETO komitejai; </w:t>
      </w:r>
    </w:p>
    <w:p w14:paraId="4BF20BCB" w14:textId="77777777" w:rsidR="00FC4E89" w:rsidRPr="00CB4A63" w:rsidRDefault="00C10568" w:rsidP="003072E0">
      <w:pPr>
        <w:pStyle w:val="Sarakstarindkopa"/>
        <w:numPr>
          <w:ilvl w:val="2"/>
          <w:numId w:val="6"/>
        </w:numPr>
        <w:spacing w:after="120"/>
        <w:jc w:val="both"/>
      </w:pPr>
      <w:r>
        <w:t xml:space="preserve">lai nodrošinātu vienlīdzīgu visu NETO dalību, šādi līgumi jāparaksta arī tiem NETO, kas vēl nav funkcionējošie NETO; </w:t>
      </w:r>
    </w:p>
    <w:p w14:paraId="1FBB39B9" w14:textId="77777777" w:rsidR="00FC4E89" w:rsidRPr="00CB4A63" w:rsidRDefault="00FC4E89" w:rsidP="00FC4E89">
      <w:pPr>
        <w:pStyle w:val="Sarakstarindkopa"/>
        <w:spacing w:after="120"/>
        <w:ind w:left="1080"/>
        <w:jc w:val="both"/>
      </w:pPr>
    </w:p>
    <w:p w14:paraId="6CA232EA" w14:textId="77777777" w:rsidR="00FC4E89" w:rsidRPr="00CB4A63" w:rsidRDefault="00FC4E89" w:rsidP="00174B30">
      <w:pPr>
        <w:pStyle w:val="Sarakstarindkopa"/>
        <w:numPr>
          <w:ilvl w:val="0"/>
          <w:numId w:val="111"/>
        </w:numPr>
        <w:spacing w:after="120"/>
        <w:jc w:val="both"/>
      </w:pPr>
      <w:r>
        <w:t>ar TSO funkciju saistīto operatīvo lēmumu (ko vienprātīgi pieņem NETO) pieņemšanas procesu un lēmējinstitūciju nošķiršana no augsta līmeņa lēmumiem, kas izriet no CACM prasībām (ko pieņem ar kvalificētu balsu vairākumu);</w:t>
      </w:r>
    </w:p>
    <w:p w14:paraId="25882A81" w14:textId="77777777" w:rsidR="00FC4E89" w:rsidRPr="00CB4A63" w:rsidRDefault="00FC4E89" w:rsidP="00174B30">
      <w:pPr>
        <w:pStyle w:val="Sarakstarindkopa"/>
        <w:numPr>
          <w:ilvl w:val="0"/>
          <w:numId w:val="111"/>
        </w:numPr>
        <w:spacing w:after="120"/>
        <w:jc w:val="both"/>
      </w:pPr>
      <w:r>
        <w:t>NETO noteiktais pienākums nodrošināt TSO funkcijas līdzekļu (t. i., noteikumu, procedūru un specifikāciju) atbilstību CACM regulas prasībām un apstiprinātajiem noteikumiem vai metodēm.</w:t>
      </w:r>
    </w:p>
    <w:p w14:paraId="73D35520" w14:textId="77777777" w:rsidR="00FC4E89" w:rsidRPr="00CB4A63" w:rsidRDefault="00FC4E89" w:rsidP="00830F63">
      <w:pPr>
        <w:pStyle w:val="Virsraksts3"/>
      </w:pPr>
      <w:bookmarkStart w:id="27" w:name="_Toc479786202"/>
      <w:bookmarkStart w:id="28" w:name="_Toc484770681"/>
      <w:r>
        <w:lastRenderedPageBreak/>
        <w:t>Mērķa „j) nediskriminējošas piekļuves starpzonu jaudai nodrošināšana” novērtēšana</w:t>
      </w:r>
      <w:bookmarkEnd w:id="27"/>
      <w:bookmarkEnd w:id="28"/>
    </w:p>
    <w:p w14:paraId="0D75AAA8" w14:textId="77777777" w:rsidR="00FC4E89" w:rsidRPr="00CB4A63" w:rsidRDefault="00FC4E89" w:rsidP="00174B30">
      <w:pPr>
        <w:pStyle w:val="Sarakstarindkopa"/>
        <w:numPr>
          <w:ilvl w:val="0"/>
          <w:numId w:val="114"/>
        </w:numPr>
        <w:spacing w:after="120"/>
        <w:jc w:val="both"/>
      </w:pPr>
      <w:r>
        <w:t>Papildus 1.1.1. punktā veiktajam novērtējumam ND periodam 6.1.2., 6.1.3. un 6.1.4. punktā un D periodam 7.1.1.2., 7.1.1.3., 7.2., 7.2.1. un 7.2.2. punktā aprakstītā arhitektūra, principi un procedūra ir paredzēta, lai sniegtu nediskriminējošu piekļuvi starpzonu jaudai.</w:t>
      </w:r>
    </w:p>
    <w:p w14:paraId="7620B696" w14:textId="77777777" w:rsidR="00001382" w:rsidRPr="00CB4A63" w:rsidRDefault="00001382" w:rsidP="009954AF">
      <w:pPr>
        <w:spacing w:after="120"/>
        <w:contextualSpacing/>
        <w:jc w:val="both"/>
      </w:pPr>
    </w:p>
    <w:p w14:paraId="6009843D" w14:textId="77777777" w:rsidR="009954AF" w:rsidRPr="00CB4A63" w:rsidRDefault="009954AF" w:rsidP="009954AF">
      <w:pPr>
        <w:spacing w:after="120"/>
        <w:contextualSpacing/>
        <w:jc w:val="both"/>
      </w:pPr>
    </w:p>
    <w:p w14:paraId="6822F9CA" w14:textId="77777777" w:rsidR="009954AF" w:rsidRPr="00CB4A63" w:rsidRDefault="009954AF" w:rsidP="009954AF">
      <w:pPr>
        <w:spacing w:after="120"/>
        <w:contextualSpacing/>
        <w:jc w:val="both"/>
      </w:pPr>
    </w:p>
    <w:p w14:paraId="20D5AE39" w14:textId="77777777" w:rsidR="009954AF" w:rsidRPr="00CB4A63" w:rsidRDefault="009954AF" w:rsidP="009954AF">
      <w:pPr>
        <w:spacing w:after="120"/>
        <w:contextualSpacing/>
        <w:jc w:val="both"/>
      </w:pPr>
    </w:p>
    <w:p w14:paraId="40899381" w14:textId="77777777" w:rsidR="009954AF" w:rsidRPr="00CB4A63" w:rsidRDefault="009954AF" w:rsidP="009954AF">
      <w:pPr>
        <w:spacing w:after="120"/>
        <w:contextualSpacing/>
        <w:jc w:val="both"/>
      </w:pPr>
    </w:p>
    <w:p w14:paraId="78EC8AAF" w14:textId="77777777" w:rsidR="003072E0" w:rsidRPr="00CB4A63" w:rsidRDefault="003072E0" w:rsidP="009954AF">
      <w:pPr>
        <w:spacing w:after="120"/>
        <w:contextualSpacing/>
        <w:jc w:val="both"/>
      </w:pPr>
    </w:p>
    <w:p w14:paraId="25915F13" w14:textId="77777777" w:rsidR="003072E0" w:rsidRPr="00CB4A63" w:rsidRDefault="003072E0" w:rsidP="009954AF">
      <w:pPr>
        <w:spacing w:after="120"/>
        <w:contextualSpacing/>
        <w:jc w:val="both"/>
      </w:pPr>
    </w:p>
    <w:p w14:paraId="54F92D59" w14:textId="77777777" w:rsidR="003072E0" w:rsidRPr="00CB4A63" w:rsidRDefault="003072E0" w:rsidP="009954AF">
      <w:pPr>
        <w:spacing w:after="120"/>
        <w:contextualSpacing/>
        <w:jc w:val="both"/>
      </w:pPr>
    </w:p>
    <w:p w14:paraId="764D9A2D" w14:textId="77777777" w:rsidR="00A215CB" w:rsidRPr="00CB4A63" w:rsidRDefault="00A215CB" w:rsidP="009954AF">
      <w:pPr>
        <w:spacing w:after="120"/>
        <w:contextualSpacing/>
        <w:jc w:val="both"/>
      </w:pPr>
    </w:p>
    <w:p w14:paraId="1A20B14D" w14:textId="77777777" w:rsidR="00A215CB" w:rsidRPr="00CB4A63" w:rsidRDefault="00A215CB" w:rsidP="009954AF">
      <w:pPr>
        <w:spacing w:after="120"/>
        <w:contextualSpacing/>
        <w:jc w:val="both"/>
      </w:pPr>
    </w:p>
    <w:p w14:paraId="733EA1AC" w14:textId="77777777" w:rsidR="00A215CB" w:rsidRPr="00CB4A63" w:rsidRDefault="00A215CB" w:rsidP="009954AF">
      <w:pPr>
        <w:spacing w:after="120"/>
        <w:contextualSpacing/>
        <w:jc w:val="both"/>
      </w:pPr>
    </w:p>
    <w:p w14:paraId="44CD475C" w14:textId="77777777" w:rsidR="00A215CB" w:rsidRPr="00CB4A63" w:rsidRDefault="00A215CB" w:rsidP="009954AF">
      <w:pPr>
        <w:spacing w:after="120"/>
        <w:contextualSpacing/>
        <w:jc w:val="both"/>
      </w:pPr>
    </w:p>
    <w:p w14:paraId="12376247" w14:textId="77777777" w:rsidR="00A215CB" w:rsidRPr="00CB4A63" w:rsidRDefault="00A215CB" w:rsidP="009954AF">
      <w:pPr>
        <w:spacing w:after="120"/>
        <w:contextualSpacing/>
        <w:jc w:val="both"/>
      </w:pPr>
    </w:p>
    <w:p w14:paraId="71C1E6B3" w14:textId="77777777" w:rsidR="00A215CB" w:rsidRPr="00CB4A63" w:rsidRDefault="00A215CB" w:rsidP="009954AF">
      <w:pPr>
        <w:spacing w:after="120"/>
        <w:contextualSpacing/>
        <w:jc w:val="both"/>
      </w:pPr>
    </w:p>
    <w:p w14:paraId="36BC67F9" w14:textId="77777777" w:rsidR="00A215CB" w:rsidRPr="00CB4A63" w:rsidRDefault="00A215CB" w:rsidP="009954AF">
      <w:pPr>
        <w:spacing w:after="120"/>
        <w:contextualSpacing/>
        <w:jc w:val="both"/>
      </w:pPr>
    </w:p>
    <w:p w14:paraId="74ED9A8A" w14:textId="77777777" w:rsidR="003072E0" w:rsidRPr="00CB4A63" w:rsidRDefault="003072E0" w:rsidP="009954AF">
      <w:pPr>
        <w:spacing w:after="120"/>
        <w:contextualSpacing/>
        <w:jc w:val="both"/>
      </w:pPr>
    </w:p>
    <w:p w14:paraId="5A4E8D3A" w14:textId="77777777" w:rsidR="003072E0" w:rsidRPr="00CB4A63" w:rsidRDefault="003072E0" w:rsidP="009954AF">
      <w:pPr>
        <w:spacing w:after="120"/>
        <w:contextualSpacing/>
        <w:jc w:val="both"/>
      </w:pPr>
    </w:p>
    <w:p w14:paraId="128CD5E5" w14:textId="77777777" w:rsidR="003072E0" w:rsidRPr="00CB4A63" w:rsidRDefault="003072E0" w:rsidP="009954AF">
      <w:pPr>
        <w:spacing w:after="120"/>
        <w:contextualSpacing/>
        <w:jc w:val="both"/>
      </w:pPr>
    </w:p>
    <w:p w14:paraId="78ADE609" w14:textId="77777777" w:rsidR="00384754" w:rsidRDefault="00384754">
      <w:pPr>
        <w:spacing w:after="160" w:line="259" w:lineRule="auto"/>
      </w:pPr>
      <w:bookmarkStart w:id="29" w:name="_Toc444096077"/>
      <w:bookmarkStart w:id="30" w:name="_Toc444699134"/>
      <w:bookmarkStart w:id="31" w:name="_Toc444849210"/>
      <w:bookmarkStart w:id="32" w:name="_Toc479786203"/>
      <w:r>
        <w:rPr>
          <w:b/>
          <w:bCs/>
        </w:rPr>
        <w:br w:type="page"/>
      </w:r>
    </w:p>
    <w:p w14:paraId="6CD7A992" w14:textId="7C703BAA" w:rsidR="006175A2" w:rsidRPr="00CB4A63" w:rsidRDefault="009954AF" w:rsidP="00074AD7">
      <w:pPr>
        <w:pStyle w:val="Virsraksts1"/>
        <w:rPr>
          <w:sz w:val="20"/>
        </w:rPr>
      </w:pPr>
      <w:bookmarkStart w:id="33" w:name="_Toc484770682"/>
      <w:r>
        <w:lastRenderedPageBreak/>
        <w:t>DEFINĪCIJAS</w:t>
      </w:r>
      <w:bookmarkEnd w:id="29"/>
      <w:bookmarkEnd w:id="30"/>
      <w:bookmarkEnd w:id="31"/>
      <w:bookmarkEnd w:id="32"/>
      <w:bookmarkEnd w:id="33"/>
    </w:p>
    <w:p w14:paraId="289147D1" w14:textId="77777777" w:rsidR="006175A2" w:rsidRPr="00CB4A63" w:rsidRDefault="006175A2" w:rsidP="006175A2">
      <w:pPr>
        <w:spacing w:after="120"/>
        <w:jc w:val="both"/>
        <w:rPr>
          <w:b/>
          <w:sz w:val="28"/>
          <w:szCs w:val="28"/>
        </w:rPr>
      </w:pPr>
    </w:p>
    <w:p w14:paraId="687CE77A" w14:textId="77777777" w:rsidR="006175A2" w:rsidRPr="00CB4A63" w:rsidRDefault="006175A2" w:rsidP="006175A2">
      <w:pPr>
        <w:spacing w:after="120"/>
        <w:jc w:val="both"/>
        <w:rPr>
          <w:b/>
          <w:sz w:val="28"/>
          <w:szCs w:val="28"/>
        </w:rPr>
      </w:pPr>
      <w:r>
        <w:t>Šajā TSO plānā ir izmantotas tās pašas definīcijas, kas Komisijas Regulā ES 2015/1222, kā arī tālāk norādītās definīcijas.</w:t>
      </w:r>
    </w:p>
    <w:p w14:paraId="1AC92943" w14:textId="77777777" w:rsidR="00C06BD7" w:rsidRPr="00CB4A63" w:rsidRDefault="00C06BD7" w:rsidP="00C06BD7">
      <w:pPr>
        <w:numPr>
          <w:ilvl w:val="0"/>
          <w:numId w:val="2"/>
        </w:numPr>
        <w:ind w:left="720" w:hanging="720"/>
        <w:contextualSpacing/>
      </w:pPr>
      <w:r>
        <w:rPr>
          <w:b/>
        </w:rPr>
        <w:t>VPSL:</w:t>
      </w:r>
      <w:r>
        <w:t xml:space="preserve"> visu pušu sadarbības līgums, kas noslēgts starp NETO un PSO starpā un tiks paplašināts no DTSO funkcijas ieviešanas termiņa.</w:t>
      </w:r>
    </w:p>
    <w:p w14:paraId="32409F12" w14:textId="77777777" w:rsidR="00C06BD7" w:rsidRPr="00CB4A63" w:rsidRDefault="00C06BD7" w:rsidP="006175A2">
      <w:pPr>
        <w:numPr>
          <w:ilvl w:val="0"/>
          <w:numId w:val="2"/>
        </w:numPr>
        <w:ind w:left="720" w:hanging="720"/>
        <w:contextualSpacing/>
      </w:pPr>
      <w:r>
        <w:rPr>
          <w:rFonts w:ascii="Calibri"/>
          <w:b/>
        </w:rPr>
        <w:t>Koordinatora vietnieks</w:t>
      </w:r>
      <w:r>
        <w:t>: apzīmē ND NETO, kas papildus operatora uzdevumu veikšanai ir gatavs nepieciešamības gadījumā jebkurā brīdī pārņemt koordinatora darbu.</w:t>
      </w:r>
    </w:p>
    <w:p w14:paraId="74234410" w14:textId="77777777" w:rsidR="00C06BD7" w:rsidRPr="00CB4A63" w:rsidRDefault="00C06BD7" w:rsidP="00A215CB">
      <w:pPr>
        <w:numPr>
          <w:ilvl w:val="0"/>
          <w:numId w:val="2"/>
        </w:numPr>
        <w:ind w:left="709" w:hanging="709"/>
        <w:contextualSpacing/>
        <w:rPr>
          <w:b/>
        </w:rPr>
      </w:pPr>
      <w:r>
        <w:rPr>
          <w:b/>
        </w:rPr>
        <w:t>Jaudas pārvaldības modulis (JPM): tāda pati definīcija, kāda dota CACM regulas 2. panta 11. punktā.</w:t>
      </w:r>
    </w:p>
    <w:p w14:paraId="07F70171" w14:textId="3C5DAE65" w:rsidR="00C06BD7" w:rsidRPr="00CB4A63" w:rsidRDefault="00C06BD7" w:rsidP="006175A2">
      <w:pPr>
        <w:numPr>
          <w:ilvl w:val="0"/>
          <w:numId w:val="2"/>
        </w:numPr>
        <w:ind w:left="720" w:hanging="720"/>
        <w:contextualSpacing/>
      </w:pPr>
      <w:r>
        <w:rPr>
          <w:b/>
        </w:rPr>
        <w:t>Koordinators</w:t>
      </w:r>
      <w:r>
        <w:t>: apzīmē ND NETO, kas papildus operatora uzdevumu veikšanai atbild par ND TSO funkcijas darbības koordinēšanu.</w:t>
      </w:r>
    </w:p>
    <w:p w14:paraId="29FF079F" w14:textId="77777777" w:rsidR="00C06BD7" w:rsidRPr="00CB4A63" w:rsidRDefault="00C06BD7" w:rsidP="006175A2">
      <w:pPr>
        <w:numPr>
          <w:ilvl w:val="0"/>
          <w:numId w:val="2"/>
        </w:numPr>
        <w:ind w:left="720" w:hanging="720"/>
        <w:contextualSpacing/>
      </w:pPr>
      <w:r>
        <w:rPr>
          <w:b/>
        </w:rPr>
        <w:t xml:space="preserve">ND tirgus sasaistes operatora (TSO) funkcija: </w:t>
      </w:r>
      <w:r>
        <w:t>apzīmē pasūtījumu saskaņošanas uzdevumu nākamās dienas tirgos dažādās solīšanas zonās un vienlaicīgu starpzonu jaudas piešķiršanu, kā norādīts CACM regulas 2. panta 30. punktā.</w:t>
      </w:r>
    </w:p>
    <w:p w14:paraId="37D421C0" w14:textId="77777777" w:rsidR="00C06BD7" w:rsidRPr="00CB4A63" w:rsidRDefault="00C06BD7" w:rsidP="00E836CA">
      <w:pPr>
        <w:numPr>
          <w:ilvl w:val="0"/>
          <w:numId w:val="2"/>
        </w:numPr>
        <w:ind w:left="720" w:hanging="720"/>
        <w:contextualSpacing/>
      </w:pPr>
      <w:r>
        <w:rPr>
          <w:b/>
        </w:rPr>
        <w:t xml:space="preserve">Pasaules produkti:  </w:t>
      </w:r>
      <w:r>
        <w:t xml:space="preserve">apzīmē visus produktus, kas ietverti diennakts risinājumā un kuri ir piemēroti saskaņošanai diennakts risinājumā. </w:t>
      </w:r>
    </w:p>
    <w:p w14:paraId="601F850F" w14:textId="77777777" w:rsidR="00C06BD7" w:rsidRPr="00CB4A63" w:rsidRDefault="00C06BD7" w:rsidP="002975BA">
      <w:pPr>
        <w:numPr>
          <w:ilvl w:val="0"/>
          <w:numId w:val="2"/>
        </w:numPr>
        <w:ind w:left="720" w:hanging="720"/>
        <w:contextualSpacing/>
      </w:pPr>
      <w:r>
        <w:rPr>
          <w:b/>
        </w:rPr>
        <w:t xml:space="preserve">D tirgus sasaistes operatora (TSO) funkcija: </w:t>
      </w:r>
      <w:r>
        <w:t>apzīmē pasūtījumu saskaņošanas uzdevumu diennakts tirgos dažādās solīšanas zonās un vienlaicīgu starpzonu jaudas piešķiršanu, kā norādīts CACM regulas 2. panta 30. punktā.</w:t>
      </w:r>
    </w:p>
    <w:p w14:paraId="34408723" w14:textId="77777777" w:rsidR="00C06BD7" w:rsidRPr="00CB4A63" w:rsidRDefault="00C06BD7" w:rsidP="00C06BD7">
      <w:pPr>
        <w:numPr>
          <w:ilvl w:val="0"/>
          <w:numId w:val="2"/>
        </w:numPr>
        <w:ind w:left="720" w:hanging="720"/>
        <w:contextualSpacing/>
      </w:pPr>
      <w:r>
        <w:rPr>
          <w:rFonts w:ascii="Calibri"/>
          <w:b/>
        </w:rPr>
        <w:t>LIP</w:t>
      </w:r>
      <w:r>
        <w:t>: lokālais ieviešanas projekts valsts vai reģionālā mērogā, kura gatavība ir priekšnosacījums, lai piedalītos diennakts sasaistes darbībās.</w:t>
      </w:r>
    </w:p>
    <w:p w14:paraId="2A8D18C4" w14:textId="77777777" w:rsidR="00C06BD7" w:rsidRPr="00CB4A63" w:rsidRDefault="00C06BD7" w:rsidP="00E836CA">
      <w:pPr>
        <w:numPr>
          <w:ilvl w:val="0"/>
          <w:numId w:val="2"/>
        </w:numPr>
        <w:ind w:left="720" w:hanging="720"/>
        <w:contextualSpacing/>
        <w:rPr>
          <w:b/>
        </w:rPr>
      </w:pPr>
      <w:r>
        <w:rPr>
          <w:b/>
        </w:rPr>
        <w:t xml:space="preserve">Vietējie produkti: </w:t>
      </w:r>
      <w:r>
        <w:t>apzīmē visus produktus, kas nav ietverti diennakts risinājumā un kuri nav piemēroti saskaņošanai diennakts risinājumā.</w:t>
      </w:r>
    </w:p>
    <w:p w14:paraId="01FBE2E3" w14:textId="77777777" w:rsidR="00C06BD7" w:rsidRPr="00CB4A63" w:rsidRDefault="00C06BD7" w:rsidP="00A215CB">
      <w:pPr>
        <w:numPr>
          <w:ilvl w:val="0"/>
          <w:numId w:val="2"/>
        </w:numPr>
        <w:ind w:left="709" w:hanging="709"/>
        <w:contextualSpacing/>
      </w:pPr>
      <w:r>
        <w:rPr>
          <w:b/>
        </w:rPr>
        <w:t>Nominēts elektroenerģijas tirgus operators (NETO)</w:t>
      </w:r>
      <w:r>
        <w:t>: tāda pati definīcija, kāda dota CACM regulas 2. panta 23. punktā.</w:t>
      </w:r>
    </w:p>
    <w:p w14:paraId="373BBD1D" w14:textId="77777777" w:rsidR="00C06BD7" w:rsidRPr="00CB4A63" w:rsidRDefault="00C06BD7" w:rsidP="006175A2">
      <w:pPr>
        <w:numPr>
          <w:ilvl w:val="0"/>
          <w:numId w:val="2"/>
        </w:numPr>
        <w:ind w:left="720" w:hanging="720"/>
        <w:contextualSpacing/>
      </w:pPr>
      <w:r>
        <w:rPr>
          <w:rFonts w:ascii="Calibri"/>
          <w:b/>
        </w:rPr>
        <w:t>Funkcionējošais NETO</w:t>
      </w:r>
      <w:r>
        <w:rPr>
          <w:rFonts w:ascii="Calibri"/>
        </w:rPr>
        <w:t>: apzīmē</w:t>
      </w:r>
    </w:p>
    <w:p w14:paraId="09D2C02E" w14:textId="77777777" w:rsidR="00C06BD7" w:rsidRPr="00CB4A63" w:rsidRDefault="00C06BD7" w:rsidP="00C06BD7">
      <w:pPr>
        <w:numPr>
          <w:ilvl w:val="1"/>
          <w:numId w:val="2"/>
        </w:numPr>
        <w:ind w:left="1170" w:hanging="450"/>
        <w:contextualSpacing/>
      </w:pPr>
      <w:r>
        <w:t xml:space="preserve">ND: ND NETO, kuru pasūtījumiem atbilst ND TSO funkcija;  </w:t>
      </w:r>
    </w:p>
    <w:p w14:paraId="7523697E" w14:textId="77777777" w:rsidR="00C06BD7" w:rsidRPr="00CB4A63" w:rsidRDefault="00C06BD7" w:rsidP="00FA32C0">
      <w:pPr>
        <w:numPr>
          <w:ilvl w:val="1"/>
          <w:numId w:val="2"/>
        </w:numPr>
        <w:ind w:left="1170" w:hanging="450"/>
        <w:contextualSpacing/>
      </w:pPr>
      <w:r>
        <w:t>D: D NETO, kuru pasūtījumiem atbilst DTSO funkcija.</w:t>
      </w:r>
    </w:p>
    <w:p w14:paraId="6A92FD3C" w14:textId="77777777" w:rsidR="00C06BD7" w:rsidRPr="00CB4A63" w:rsidRDefault="00C06BD7" w:rsidP="006175A2">
      <w:pPr>
        <w:numPr>
          <w:ilvl w:val="0"/>
          <w:numId w:val="2"/>
        </w:numPr>
        <w:ind w:left="720" w:hanging="720"/>
        <w:contextualSpacing/>
      </w:pPr>
      <w:r>
        <w:rPr>
          <w:b/>
        </w:rPr>
        <w:t>Operators:</w:t>
      </w:r>
      <w:r>
        <w:t xml:space="preserve"> apzīmē ND NETO, kas tirgus sasaistes posmā īsteno ND TSO funkcijas, nodrošinot koordinatoram informāciju, kas nepieciešama tirgus sasaistes rezultātu aprēķināšanai, piedalās koordinatora sasauktajās darbībās, ievēro kopīgi pieņemtos lēmumus un apstiprina vai noraida tirgus sasaistes rezultātus attiecībā pret saviem rezultātiem (kā arī apkalpoto NETO rezultātus).</w:t>
      </w:r>
    </w:p>
    <w:p w14:paraId="2409C762" w14:textId="77777777" w:rsidR="00C06BD7" w:rsidRPr="00CB4A63" w:rsidRDefault="00566087" w:rsidP="006175A2">
      <w:pPr>
        <w:numPr>
          <w:ilvl w:val="0"/>
          <w:numId w:val="2"/>
        </w:numPr>
        <w:ind w:left="720" w:hanging="720"/>
        <w:contextualSpacing/>
      </w:pPr>
      <w:r>
        <w:rPr>
          <w:b/>
        </w:rPr>
        <w:t>ND TSO funkcijas līdzekļi</w:t>
      </w:r>
      <w:r>
        <w:t>: apzīmē ND TSO funkcijai izmantotās sistēmas, procedūras, algoritmu un līgumus ar pakalpojumu nodrošinātājiem.</w:t>
      </w:r>
    </w:p>
    <w:p w14:paraId="2632B340" w14:textId="77777777" w:rsidR="0003374C" w:rsidRPr="00CB4A63" w:rsidRDefault="0003374C" w:rsidP="0003374C">
      <w:pPr>
        <w:numPr>
          <w:ilvl w:val="0"/>
          <w:numId w:val="2"/>
        </w:numPr>
        <w:ind w:left="720" w:hanging="720"/>
        <w:contextualSpacing/>
      </w:pPr>
      <w:r>
        <w:rPr>
          <w:b/>
        </w:rPr>
        <w:t>ND TSO funkcijas līdzekļu līdzīpašnieks</w:t>
      </w:r>
      <w:r>
        <w:t>: apzīmē ND NETO, kas ir ND TSO funkcijas līdzekļu līdzīpašnieks.</w:t>
      </w:r>
    </w:p>
    <w:p w14:paraId="02135E05" w14:textId="77777777" w:rsidR="00C06BD7" w:rsidRPr="00CB4A63" w:rsidRDefault="00B27770" w:rsidP="006175A2">
      <w:pPr>
        <w:numPr>
          <w:ilvl w:val="0"/>
          <w:numId w:val="2"/>
        </w:numPr>
        <w:ind w:left="720" w:hanging="720"/>
        <w:contextualSpacing/>
      </w:pPr>
      <w:r>
        <w:rPr>
          <w:b/>
        </w:rPr>
        <w:t>ND TSO funkcijas līdzekļu līdzīpašnieki</w:t>
      </w:r>
      <w:r>
        <w:t>: apzīmē visus ND NETO, kuriem ir kopīgas īpašumtiesības uz ND TSO funkcijas līdzekļiem.</w:t>
      </w:r>
    </w:p>
    <w:p w14:paraId="3C0A8909" w14:textId="77777777" w:rsidR="002F6586" w:rsidRPr="00CB4A63" w:rsidRDefault="002F6586" w:rsidP="006175A2">
      <w:pPr>
        <w:numPr>
          <w:ilvl w:val="0"/>
          <w:numId w:val="2"/>
        </w:numPr>
        <w:ind w:left="720" w:hanging="720"/>
        <w:contextualSpacing/>
      </w:pPr>
      <w:r>
        <w:rPr>
          <w:b/>
        </w:rPr>
        <w:t>ND TSO funkcijas līdzekļu licenciāti</w:t>
      </w:r>
      <w:r>
        <w:t>: apzīmē visus ND NETO, kuriem ir licence, kas nodrošina viņiem tiesības izmantot ND TSO funkcijas līdzekļus savā vārdā, kā koordinators/koordinatora vietnieks/operators, tikai lai veiktu ND TSO funkcijas nākamās dienas sasaistes nolūkā.</w:t>
      </w:r>
    </w:p>
    <w:p w14:paraId="7B37DFFB" w14:textId="77777777" w:rsidR="00C06BD7" w:rsidRPr="00CB4A63" w:rsidRDefault="00C06BD7" w:rsidP="006175A2">
      <w:pPr>
        <w:numPr>
          <w:ilvl w:val="0"/>
          <w:numId w:val="2"/>
        </w:numPr>
        <w:ind w:left="720" w:hanging="720"/>
        <w:contextualSpacing/>
      </w:pPr>
      <w:r>
        <w:rPr>
          <w:b/>
        </w:rPr>
        <w:t>CKS</w:t>
      </w:r>
      <w:r>
        <w:t>: apzīmē korelācijas moduli un starpniekmoduli (daļu no ND TSO funkcijas līdzekļiem).</w:t>
      </w:r>
    </w:p>
    <w:p w14:paraId="29989C7E" w14:textId="77777777" w:rsidR="00C06BD7" w:rsidRPr="00CB4A63" w:rsidRDefault="00C06BD7" w:rsidP="00A215CB">
      <w:pPr>
        <w:numPr>
          <w:ilvl w:val="0"/>
          <w:numId w:val="2"/>
        </w:numPr>
        <w:ind w:left="709" w:hanging="709"/>
        <w:contextualSpacing/>
      </w:pPr>
      <w:r>
        <w:rPr>
          <w:b/>
        </w:rPr>
        <w:lastRenderedPageBreak/>
        <w:t>Apkalpotais NETO</w:t>
      </w:r>
      <w:r>
        <w:t>: apzīmē NETO, kas saskaņā ar divpusēju pakalpojumu sniegšanas līgumu ir deleģējis daļu savu TSO uzdevumu citam NETO.</w:t>
      </w:r>
    </w:p>
    <w:p w14:paraId="5EB84E6F" w14:textId="77777777" w:rsidR="00C06BD7" w:rsidRPr="00CB4A63" w:rsidRDefault="00C06BD7" w:rsidP="00A215CB">
      <w:pPr>
        <w:numPr>
          <w:ilvl w:val="0"/>
          <w:numId w:val="2"/>
        </w:numPr>
        <w:ind w:left="709" w:hanging="709"/>
        <w:contextualSpacing/>
      </w:pPr>
      <w:r>
        <w:rPr>
          <w:b/>
        </w:rPr>
        <w:t>Apkalpojošais NETO:</w:t>
      </w:r>
      <w:r>
        <w:t>apzīmē NETO, kas kļūs par ND TSO funkcijas līdzekļu līdzīpašnieku, deleģēto uzdevumu ietvaros darbojoties apkalpotā NETO vārdā un labā.</w:t>
      </w:r>
    </w:p>
    <w:p w14:paraId="5FA5EF29" w14:textId="77777777" w:rsidR="00C06BD7" w:rsidRPr="00CB4A63" w:rsidRDefault="00C06BD7" w:rsidP="00C06BD7">
      <w:pPr>
        <w:numPr>
          <w:ilvl w:val="0"/>
          <w:numId w:val="2"/>
        </w:numPr>
        <w:ind w:left="720" w:hanging="720"/>
        <w:contextualSpacing/>
      </w:pPr>
      <w:r>
        <w:rPr>
          <w:b/>
        </w:rPr>
        <w:t xml:space="preserve">Kopēja uzdevumu grāmata (KUG): </w:t>
      </w:r>
      <w:r>
        <w:t>tāda pati definīcija, kāda dota CACM regulas 2. panta 24. punktā.</w:t>
      </w:r>
    </w:p>
    <w:p w14:paraId="7BD4D4E1" w14:textId="77777777" w:rsidR="00C06BD7" w:rsidRPr="00CB4A63" w:rsidRDefault="00C06BD7" w:rsidP="00C06BD7">
      <w:pPr>
        <w:numPr>
          <w:ilvl w:val="0"/>
          <w:numId w:val="2"/>
        </w:numPr>
        <w:ind w:left="720" w:hanging="720"/>
        <w:contextualSpacing/>
      </w:pPr>
      <w:r>
        <w:rPr>
          <w:b/>
        </w:rPr>
        <w:t>Sūtīšanas modulis (SM):</w:t>
      </w:r>
      <w:r>
        <w:t>veic plānotās apmaiņas PSO un centrālajiem darījumu partneriem aprēķināšanu, lai nepieciešamības gadījumā veiktu piegādes un norēķinus starpzonu un šķērspiegāžu apgabalā, kā arī veiktu tirdzniecību centrālo darījumu partneru starpā.</w:t>
      </w:r>
    </w:p>
    <w:p w14:paraId="2EF7A58A" w14:textId="77777777" w:rsidR="00C06BD7" w:rsidRPr="00CB4A63" w:rsidRDefault="00C06BD7" w:rsidP="006175A2">
      <w:pPr>
        <w:numPr>
          <w:ilvl w:val="0"/>
          <w:numId w:val="2"/>
        </w:numPr>
        <w:ind w:left="720" w:hanging="720"/>
        <w:contextualSpacing/>
      </w:pPr>
      <w:r>
        <w:rPr>
          <w:b/>
        </w:rPr>
        <w:t>Vienota nākamās dienas tirgus sasaistīšana (VNDTS)</w:t>
      </w:r>
      <w:r>
        <w:t>: tāda pati definīcija, kāda dota CACM regulas 2. panta 26. punktā.</w:t>
      </w:r>
    </w:p>
    <w:p w14:paraId="6D9664E3" w14:textId="77777777" w:rsidR="00C06BD7" w:rsidRPr="00CB4A63" w:rsidRDefault="00C06BD7" w:rsidP="006175A2">
      <w:pPr>
        <w:numPr>
          <w:ilvl w:val="0"/>
          <w:numId w:val="2"/>
        </w:numPr>
        <w:ind w:left="720" w:hanging="720"/>
        <w:contextualSpacing/>
      </w:pPr>
      <w:r>
        <w:rPr>
          <w:b/>
        </w:rPr>
        <w:t>Diennakts sasaiste (DS):</w:t>
      </w:r>
      <w:r>
        <w:t xml:space="preserve"> tāda pati definīcija, kāda dota CACM regulas 2. panta 27. punktā.</w:t>
      </w:r>
    </w:p>
    <w:p w14:paraId="3DA95CCA" w14:textId="77777777" w:rsidR="00C06BD7" w:rsidRPr="00CB4A63" w:rsidRDefault="00B27770" w:rsidP="00E836CA">
      <w:pPr>
        <w:numPr>
          <w:ilvl w:val="0"/>
          <w:numId w:val="2"/>
        </w:numPr>
        <w:ind w:left="720" w:hanging="720"/>
        <w:contextualSpacing/>
        <w:rPr>
          <w:b/>
        </w:rPr>
      </w:pPr>
      <w:r>
        <w:rPr>
          <w:b/>
        </w:rPr>
        <w:t xml:space="preserve">Diennakts risinājums: </w:t>
      </w:r>
      <w:r>
        <w:t>apzīmē risinājumu (sistēmu, procedūras, līgumus u. c.), ko ievieš elektroenerģijas biržas un PSO, lai netieši un pastāvīgi piešķirtu starpzonu diennakts jaudu, kā arī tiešu piešķiršanu nākamās dienas sasaistes ietvaros saskaņā ar CACM regulā norādītajiem principiem.</w:t>
      </w:r>
      <w:r>
        <w:rPr>
          <w:b/>
        </w:rPr>
        <w:t xml:space="preserve"> </w:t>
      </w:r>
    </w:p>
    <w:p w14:paraId="255982D5" w14:textId="77777777" w:rsidR="00C06BD7" w:rsidRPr="00CB4A63" w:rsidRDefault="00B27770" w:rsidP="006175A2">
      <w:pPr>
        <w:numPr>
          <w:ilvl w:val="0"/>
          <w:numId w:val="2"/>
        </w:numPr>
        <w:ind w:left="720" w:hanging="720"/>
        <w:contextualSpacing/>
      </w:pPr>
      <w:r>
        <w:rPr>
          <w:b/>
        </w:rPr>
        <w:t>Diennakts sistēmas piegādātājs</w:t>
      </w:r>
      <w:r>
        <w:t xml:space="preserve">: apzīmē juridisko personu, kas nodrošina diennakts tirgus sasaistīšanas pakalpojumus saskaņā ar attiecīgajiem līgumiem, kas parakstīti ar NETO. </w:t>
      </w:r>
    </w:p>
    <w:p w14:paraId="75FCE9DC" w14:textId="081F3E75" w:rsidR="00C06BD7" w:rsidRPr="00CB4A63" w:rsidRDefault="00B27770" w:rsidP="00E836CA">
      <w:pPr>
        <w:numPr>
          <w:ilvl w:val="0"/>
          <w:numId w:val="2"/>
        </w:numPr>
        <w:ind w:left="720" w:hanging="720"/>
        <w:contextualSpacing/>
        <w:rPr>
          <w:b/>
        </w:rPr>
      </w:pPr>
      <w:r>
        <w:rPr>
          <w:b/>
        </w:rPr>
        <w:t xml:space="preserve">Diennakts sistēma: </w:t>
      </w:r>
      <w:r>
        <w:t>apzīmē programmatūru un IKT lietojumprogrammas (tostarp aparatūru), kas tiek izmantotas diennakts risinājuma darbībai, lai sazinātos ar citām katras elektroenerģijas biržas lokālajām tirdzniecības sistēmām (LTS) un PSO sistēmām, kā arī tieši piešķirtu jaudu dalībniekiem robežās, kur pastāv šāda iespēja.</w:t>
      </w:r>
    </w:p>
    <w:p w14:paraId="02A49DE1" w14:textId="77777777" w:rsidR="00C06BD7" w:rsidRPr="00CB4A63" w:rsidRDefault="00C06BD7" w:rsidP="00FA32C0">
      <w:pPr>
        <w:ind w:left="720"/>
        <w:contextualSpacing/>
      </w:pPr>
    </w:p>
    <w:p w14:paraId="00496515" w14:textId="77777777" w:rsidR="00C06BD7" w:rsidRPr="00CB4A63" w:rsidRDefault="00C06BD7" w:rsidP="00C06BD7">
      <w:pPr>
        <w:ind w:left="720"/>
        <w:contextualSpacing/>
      </w:pPr>
    </w:p>
    <w:p w14:paraId="1AB78DC8" w14:textId="77777777" w:rsidR="00E836CA" w:rsidRPr="00CB4A63" w:rsidRDefault="00E836CA" w:rsidP="00E836CA">
      <w:pPr>
        <w:ind w:left="720"/>
        <w:contextualSpacing/>
      </w:pPr>
    </w:p>
    <w:p w14:paraId="0EC6F025" w14:textId="77777777" w:rsidR="00152C09" w:rsidRPr="00CB4A63" w:rsidRDefault="00152C09" w:rsidP="00EC39FB">
      <w:pPr>
        <w:pStyle w:val="Sarakstarindkopa"/>
        <w:spacing w:after="120"/>
        <w:ind w:left="360"/>
        <w:contextualSpacing w:val="0"/>
        <w:jc w:val="both"/>
        <w:rPr>
          <w:b/>
          <w:sz w:val="28"/>
          <w:szCs w:val="28"/>
        </w:rPr>
      </w:pPr>
    </w:p>
    <w:p w14:paraId="00F77165" w14:textId="77777777" w:rsidR="00984B8C" w:rsidRPr="00CB4A63" w:rsidRDefault="00984B8C" w:rsidP="00EC39FB">
      <w:pPr>
        <w:pStyle w:val="Sarakstarindkopa"/>
        <w:spacing w:after="120"/>
        <w:ind w:left="360"/>
        <w:contextualSpacing w:val="0"/>
        <w:jc w:val="both"/>
        <w:rPr>
          <w:b/>
          <w:sz w:val="28"/>
          <w:szCs w:val="28"/>
        </w:rPr>
      </w:pPr>
    </w:p>
    <w:p w14:paraId="2FC5DAC7" w14:textId="77777777" w:rsidR="00A04369" w:rsidRPr="00CB4A63" w:rsidRDefault="00A04369" w:rsidP="00EC39FB">
      <w:pPr>
        <w:pStyle w:val="Sarakstarindkopa"/>
        <w:spacing w:after="120"/>
        <w:ind w:left="360"/>
        <w:contextualSpacing w:val="0"/>
        <w:jc w:val="both"/>
        <w:rPr>
          <w:b/>
          <w:sz w:val="28"/>
          <w:szCs w:val="28"/>
        </w:rPr>
      </w:pPr>
    </w:p>
    <w:p w14:paraId="5466C8C7" w14:textId="77777777" w:rsidR="00A04369" w:rsidRPr="00CB4A63" w:rsidRDefault="00A04369" w:rsidP="00EC39FB">
      <w:pPr>
        <w:pStyle w:val="Sarakstarindkopa"/>
        <w:spacing w:after="120"/>
        <w:ind w:left="360"/>
        <w:contextualSpacing w:val="0"/>
        <w:jc w:val="both"/>
        <w:rPr>
          <w:b/>
          <w:sz w:val="28"/>
          <w:szCs w:val="28"/>
        </w:rPr>
      </w:pPr>
    </w:p>
    <w:p w14:paraId="06316063" w14:textId="77777777" w:rsidR="00984B8C" w:rsidRPr="00CB4A63" w:rsidRDefault="00984B8C" w:rsidP="00EC39FB">
      <w:pPr>
        <w:pStyle w:val="Sarakstarindkopa"/>
        <w:spacing w:after="120"/>
        <w:ind w:left="360"/>
        <w:contextualSpacing w:val="0"/>
        <w:jc w:val="both"/>
        <w:rPr>
          <w:b/>
          <w:sz w:val="28"/>
          <w:szCs w:val="28"/>
        </w:rPr>
      </w:pPr>
    </w:p>
    <w:p w14:paraId="2F4B68EB" w14:textId="77777777" w:rsidR="00984B8C" w:rsidRPr="00CB4A63" w:rsidRDefault="00984B8C" w:rsidP="00EC39FB">
      <w:pPr>
        <w:pStyle w:val="Sarakstarindkopa"/>
        <w:spacing w:after="120"/>
        <w:ind w:left="360"/>
        <w:contextualSpacing w:val="0"/>
        <w:jc w:val="both"/>
        <w:rPr>
          <w:b/>
          <w:sz w:val="28"/>
          <w:szCs w:val="28"/>
        </w:rPr>
      </w:pPr>
    </w:p>
    <w:p w14:paraId="7B04C6A0" w14:textId="77777777" w:rsidR="003521BF" w:rsidRPr="00CB4A63" w:rsidRDefault="003521BF" w:rsidP="00EC39FB">
      <w:pPr>
        <w:pStyle w:val="Sarakstarindkopa"/>
        <w:spacing w:after="120"/>
        <w:ind w:left="360"/>
        <w:contextualSpacing w:val="0"/>
        <w:jc w:val="both"/>
        <w:rPr>
          <w:b/>
          <w:sz w:val="28"/>
          <w:szCs w:val="28"/>
        </w:rPr>
      </w:pPr>
    </w:p>
    <w:p w14:paraId="0144DE5E" w14:textId="77777777" w:rsidR="00A215CB" w:rsidRPr="00CB4A63" w:rsidRDefault="00A215CB" w:rsidP="00EC39FB">
      <w:pPr>
        <w:pStyle w:val="Sarakstarindkopa"/>
        <w:spacing w:after="120"/>
        <w:ind w:left="360"/>
        <w:contextualSpacing w:val="0"/>
        <w:jc w:val="both"/>
        <w:rPr>
          <w:b/>
          <w:sz w:val="28"/>
          <w:szCs w:val="28"/>
        </w:rPr>
      </w:pPr>
    </w:p>
    <w:p w14:paraId="4A13618A" w14:textId="77777777" w:rsidR="00A215CB" w:rsidRPr="00CB4A63" w:rsidRDefault="00A215CB" w:rsidP="00EC39FB">
      <w:pPr>
        <w:pStyle w:val="Sarakstarindkopa"/>
        <w:spacing w:after="120"/>
        <w:ind w:left="360"/>
        <w:contextualSpacing w:val="0"/>
        <w:jc w:val="both"/>
        <w:rPr>
          <w:b/>
          <w:sz w:val="28"/>
          <w:szCs w:val="28"/>
        </w:rPr>
      </w:pPr>
    </w:p>
    <w:p w14:paraId="6491B71C" w14:textId="77777777" w:rsidR="00A215CB" w:rsidRPr="00CB4A63" w:rsidRDefault="00A215CB" w:rsidP="00EC39FB">
      <w:pPr>
        <w:pStyle w:val="Sarakstarindkopa"/>
        <w:spacing w:after="120"/>
        <w:ind w:left="360"/>
        <w:contextualSpacing w:val="0"/>
        <w:jc w:val="both"/>
        <w:rPr>
          <w:b/>
          <w:sz w:val="28"/>
          <w:szCs w:val="28"/>
        </w:rPr>
      </w:pPr>
    </w:p>
    <w:p w14:paraId="452A9985" w14:textId="77777777" w:rsidR="003521BF" w:rsidRPr="00CB4A63" w:rsidRDefault="003521BF" w:rsidP="00EC39FB">
      <w:pPr>
        <w:pStyle w:val="Sarakstarindkopa"/>
        <w:spacing w:after="120"/>
        <w:ind w:left="360"/>
        <w:contextualSpacing w:val="0"/>
        <w:jc w:val="both"/>
        <w:rPr>
          <w:b/>
          <w:sz w:val="28"/>
          <w:szCs w:val="28"/>
        </w:rPr>
      </w:pPr>
    </w:p>
    <w:p w14:paraId="0E504FD2" w14:textId="77777777" w:rsidR="00EC39FB" w:rsidRPr="00CB4A63" w:rsidRDefault="00EC39FB" w:rsidP="00EC39FB">
      <w:pPr>
        <w:pStyle w:val="Virsraksts1"/>
      </w:pPr>
      <w:bookmarkStart w:id="34" w:name="_Toc444096078"/>
      <w:bookmarkStart w:id="35" w:name="_Toc444699135"/>
      <w:bookmarkStart w:id="36" w:name="_Toc444849211"/>
      <w:bookmarkStart w:id="37" w:name="_Toc479786204"/>
      <w:bookmarkStart w:id="38" w:name="_Toc484770683"/>
      <w:r>
        <w:lastRenderedPageBreak/>
        <w:t>VISPĀRĒJIE NETO SADARBĪBAS PRINCIPI</w:t>
      </w:r>
      <w:bookmarkEnd w:id="34"/>
      <w:bookmarkEnd w:id="35"/>
      <w:bookmarkEnd w:id="36"/>
      <w:bookmarkEnd w:id="37"/>
      <w:bookmarkEnd w:id="38"/>
    </w:p>
    <w:p w14:paraId="3A12F039" w14:textId="77777777" w:rsidR="00F517DD" w:rsidRPr="00CB4A63" w:rsidRDefault="00F517DD" w:rsidP="00F517DD">
      <w:pPr>
        <w:ind w:left="360"/>
        <w:contextualSpacing/>
        <w:jc w:val="both"/>
        <w:rPr>
          <w:rFonts w:eastAsia="Times New Roman"/>
        </w:rPr>
      </w:pPr>
    </w:p>
    <w:p w14:paraId="039698BF" w14:textId="77777777" w:rsidR="00D45177" w:rsidRPr="00CB4A63" w:rsidRDefault="00D45177" w:rsidP="00174B30">
      <w:pPr>
        <w:numPr>
          <w:ilvl w:val="0"/>
          <w:numId w:val="117"/>
        </w:numPr>
        <w:contextualSpacing/>
        <w:jc w:val="both"/>
        <w:rPr>
          <w:rFonts w:eastAsia="Times New Roman"/>
        </w:rPr>
      </w:pPr>
      <w:r>
        <w:t>NETO sadarbība ar nolūku ieviest un īstenot TSO funkcijas saskaņā ar CACM regulas 7. panta 2. punktu un 7. panta 3. punktu un attiecīgo noteikumu vai metožu definīciju saskaņā ar CACM regulas 9. panta 6. punktu tiks veikta, izmantojot šos līgumus</w:t>
      </w:r>
      <w:r>
        <w:rPr>
          <w:vertAlign w:val="superscript"/>
        </w:rPr>
        <w:footnoteReference w:id="2"/>
      </w:r>
      <w:r>
        <w:t>:</w:t>
      </w:r>
    </w:p>
    <w:p w14:paraId="436E894A" w14:textId="77777777" w:rsidR="00D45177" w:rsidRPr="00CB4A63" w:rsidRDefault="00D45177" w:rsidP="00174B30">
      <w:pPr>
        <w:numPr>
          <w:ilvl w:val="1"/>
          <w:numId w:val="117"/>
        </w:numPr>
        <w:contextualSpacing/>
        <w:jc w:val="both"/>
        <w:rPr>
          <w:rFonts w:eastAsia="Times New Roman"/>
        </w:rPr>
      </w:pPr>
      <w:r>
        <w:t>vienu „</w:t>
      </w:r>
      <w:r>
        <w:rPr>
          <w:i/>
        </w:rPr>
        <w:t>VISU NETO sadarbības līgumu</w:t>
      </w:r>
      <w:r>
        <w:t>“ (VNSL), ko parakstījuši visi izraudzītie NETO un</w:t>
      </w:r>
    </w:p>
    <w:p w14:paraId="0295B4AD" w14:textId="77777777" w:rsidR="00D45177" w:rsidRPr="00CB4A63" w:rsidRDefault="00D45177" w:rsidP="00D45177">
      <w:pPr>
        <w:ind w:left="1080"/>
        <w:contextualSpacing/>
        <w:jc w:val="both"/>
        <w:rPr>
          <w:rFonts w:eastAsia="Times New Roman"/>
        </w:rPr>
      </w:pPr>
      <w:r>
        <w:t xml:space="preserve">kas noteiks NETO sadarbības noteikumus saskaņā ar CACM regulas 9. pantu; </w:t>
      </w:r>
    </w:p>
    <w:p w14:paraId="44410DB1" w14:textId="1B1E563D" w:rsidR="00D45177" w:rsidRPr="00CB4A63" w:rsidRDefault="00D45177" w:rsidP="00174B30">
      <w:pPr>
        <w:numPr>
          <w:ilvl w:val="1"/>
          <w:numId w:val="117"/>
        </w:numPr>
        <w:contextualSpacing/>
        <w:jc w:val="both"/>
        <w:rPr>
          <w:rFonts w:eastAsia="Times New Roman"/>
        </w:rPr>
      </w:pPr>
      <w:r>
        <w:t xml:space="preserve">divus </w:t>
      </w:r>
      <w:r>
        <w:rPr>
          <w:i/>
        </w:rPr>
        <w:t>„NETO darbības līgumus</w:t>
      </w:r>
      <w:r>
        <w:t>” (vienu ND un vienu — D), ko attiecīgi parakstījuši visi DS un DS ieviešanai izraudzītie NETO un kas noteiks NETO sadarbības noteikumus saskaņā ar CACM regulas 7. pantu;</w:t>
      </w:r>
    </w:p>
    <w:p w14:paraId="0EB705AA" w14:textId="77777777" w:rsidR="00D45177" w:rsidRPr="00CB4A63" w:rsidRDefault="00D45177" w:rsidP="00174B30">
      <w:pPr>
        <w:numPr>
          <w:ilvl w:val="1"/>
          <w:numId w:val="117"/>
        </w:numPr>
        <w:contextualSpacing/>
        <w:jc w:val="both"/>
        <w:rPr>
          <w:rFonts w:eastAsia="Times New Roman"/>
        </w:rPr>
      </w:pPr>
      <w:r>
        <w:t xml:space="preserve">starp NETO un trešo pušu pakalpojumu nodrošinātājiem, tostarp D TSO funkcijas līdzekļu līdzīpašniekiem, noslēgto līgumu kopa, kas nepieciešama TSO funkciju īstenošanai. </w:t>
      </w:r>
    </w:p>
    <w:p w14:paraId="1E610461" w14:textId="77777777" w:rsidR="00D45177" w:rsidRPr="00CB4A63" w:rsidRDefault="00D45177" w:rsidP="00D45177">
      <w:pPr>
        <w:ind w:left="1080"/>
        <w:contextualSpacing/>
        <w:jc w:val="both"/>
        <w:rPr>
          <w:rFonts w:eastAsia="Times New Roman"/>
        </w:rPr>
      </w:pPr>
    </w:p>
    <w:p w14:paraId="0AF1CADE" w14:textId="77777777" w:rsidR="00D45177" w:rsidRPr="00CB4A63" w:rsidRDefault="00D45177" w:rsidP="00174B30">
      <w:pPr>
        <w:pStyle w:val="Sarakstarindkopa"/>
        <w:numPr>
          <w:ilvl w:val="0"/>
          <w:numId w:val="117"/>
        </w:numPr>
        <w:jc w:val="both"/>
      </w:pPr>
      <w:r>
        <w:t>Līgumiem, kas norādīti šī TSO plāna 3. punkta 1. apakšpunktā:</w:t>
      </w:r>
    </w:p>
    <w:p w14:paraId="79006104" w14:textId="77777777" w:rsidR="00EC39FB" w:rsidRPr="00CB4A63" w:rsidRDefault="00544F4F" w:rsidP="00174B30">
      <w:pPr>
        <w:pStyle w:val="Sarakstarindkopa"/>
        <w:numPr>
          <w:ilvl w:val="1"/>
          <w:numId w:val="117"/>
        </w:numPr>
        <w:jc w:val="both"/>
        <w:rPr>
          <w:rFonts w:eastAsia="Times New Roman"/>
        </w:rPr>
      </w:pPr>
      <w:r>
        <w:t xml:space="preserve">jāgūst labums no esošajiem līgumiem ND un D tirgus sasaistes izveidei un darbībai; </w:t>
      </w:r>
    </w:p>
    <w:p w14:paraId="1E96C367" w14:textId="77777777" w:rsidR="00EC39FB" w:rsidRPr="00CB4A63" w:rsidRDefault="00544F4F" w:rsidP="00174B30">
      <w:pPr>
        <w:pStyle w:val="Sarakstarindkopa"/>
        <w:numPr>
          <w:ilvl w:val="1"/>
          <w:numId w:val="117"/>
        </w:numPr>
        <w:jc w:val="both"/>
        <w:rPr>
          <w:rFonts w:eastAsia="Times New Roman"/>
        </w:rPr>
      </w:pPr>
      <w:r>
        <w:t xml:space="preserve">jātiek paplašinātiem, pievienojoties NETO, kas vēl nav parakstītāji; </w:t>
      </w:r>
    </w:p>
    <w:p w14:paraId="18D2FE18" w14:textId="77777777" w:rsidR="00EC39FB" w:rsidRPr="00CB4A63" w:rsidRDefault="00544F4F" w:rsidP="00174B30">
      <w:pPr>
        <w:pStyle w:val="Sarakstarindkopa"/>
        <w:numPr>
          <w:ilvl w:val="1"/>
          <w:numId w:val="117"/>
        </w:numPr>
        <w:jc w:val="both"/>
        <w:rPr>
          <w:rFonts w:eastAsia="Times New Roman"/>
        </w:rPr>
      </w:pPr>
      <w:r>
        <w:t>jāatspoguļo fakts, ka, lai gan visiem NETO būs jāparaksta VNSL, ne visi NETO ir funkcionējoši NETO ND un/vai D termiņos;</w:t>
      </w:r>
    </w:p>
    <w:p w14:paraId="716A909E" w14:textId="77777777" w:rsidR="00EC39FB" w:rsidRPr="00CB4A63" w:rsidRDefault="00544F4F" w:rsidP="00174B30">
      <w:pPr>
        <w:pStyle w:val="Sarakstarindkopa"/>
        <w:numPr>
          <w:ilvl w:val="1"/>
          <w:numId w:val="117"/>
        </w:numPr>
        <w:jc w:val="both"/>
        <w:rPr>
          <w:rFonts w:eastAsia="Times New Roman"/>
        </w:rPr>
      </w:pPr>
      <w:r>
        <w:t>jāatbalsta un jānodrošina efektīva vispārējā procesa pārvaldība, skaidri nošķirot operatīvos un augsta līmeņa lēmumus;</w:t>
      </w:r>
    </w:p>
    <w:p w14:paraId="203AFC8E" w14:textId="77777777" w:rsidR="00EC39FB" w:rsidRPr="00CB4A63" w:rsidRDefault="00544F4F" w:rsidP="00174B30">
      <w:pPr>
        <w:pStyle w:val="Sarakstarindkopa"/>
        <w:numPr>
          <w:ilvl w:val="1"/>
          <w:numId w:val="117"/>
        </w:numPr>
        <w:jc w:val="both"/>
        <w:rPr>
          <w:rFonts w:eastAsia="Times New Roman"/>
        </w:rPr>
      </w:pPr>
      <w:r>
        <w:t>jānosaka NETO pienākumi sadarboties, lai ieviestu un īstenotu TSO funkcijas.</w:t>
      </w:r>
    </w:p>
    <w:p w14:paraId="11F79081" w14:textId="77777777" w:rsidR="00EC39FB" w:rsidRPr="00CB4A63" w:rsidRDefault="00EC39FB" w:rsidP="00EC39FB">
      <w:pPr>
        <w:pStyle w:val="Sarakstarindkopa"/>
        <w:ind w:left="360"/>
        <w:jc w:val="both"/>
      </w:pPr>
    </w:p>
    <w:p w14:paraId="616F7230" w14:textId="77777777" w:rsidR="00234FF2" w:rsidRPr="00CB4A63" w:rsidRDefault="003C460A" w:rsidP="00174B30">
      <w:pPr>
        <w:pStyle w:val="Sarakstarindkopa"/>
        <w:numPr>
          <w:ilvl w:val="0"/>
          <w:numId w:val="117"/>
        </w:numPr>
        <w:jc w:val="both"/>
        <w:rPr>
          <w:rStyle w:val="Vresatsauce"/>
          <w:vertAlign w:val="baseline"/>
        </w:rPr>
      </w:pPr>
      <w:r>
        <w:t xml:space="preserve">NETO, kas izvirzīts ar NDS vai DS saistītu uzdevumu izpildei, jānoslēdz attiecīgie līgumi, kas aprakstīti TSO plānā TSO funkciju ieviešanai un īstenošanai, kas ir nepieciešamas kopīgai, saskaņotai un atbilstošai NDS un DS darbībai. </w:t>
      </w:r>
      <w:r>
        <w:rPr>
          <w:rStyle w:val="Vresatsauce"/>
        </w:rPr>
        <w:t xml:space="preserve"> </w:t>
      </w:r>
    </w:p>
    <w:p w14:paraId="0B7C86AA" w14:textId="77777777" w:rsidR="00234FF2" w:rsidRPr="00CB4A63" w:rsidRDefault="00234FF2" w:rsidP="00631BB6">
      <w:pPr>
        <w:pStyle w:val="Sarakstarindkopa"/>
        <w:ind w:left="360"/>
        <w:jc w:val="both"/>
      </w:pPr>
    </w:p>
    <w:p w14:paraId="4346D876" w14:textId="77777777" w:rsidR="00EC39FB" w:rsidRPr="00CB4A63" w:rsidRDefault="00234FF2" w:rsidP="00174B30">
      <w:pPr>
        <w:pStyle w:val="Sarakstarindkopa"/>
        <w:numPr>
          <w:ilvl w:val="0"/>
          <w:numId w:val="117"/>
        </w:numPr>
        <w:jc w:val="both"/>
      </w:pPr>
      <w:r>
        <w:t>Īstenojot sadarbību NETO starpā, lai ieviestu TSO plānu, jānodrošina, lai vienotās TSO funkciju īstenošanas pamatā būtu nediskriminācijas princips un lai neviens NETO nevarētu gūt labumu no nepamatotām ekonomiskām priekšrocībām, kas izriet no to lomas TSO funkcijās, saskaņā ar CACM regulas 7. panta 4. punktu.</w:t>
      </w:r>
    </w:p>
    <w:p w14:paraId="0FEB0342" w14:textId="77777777" w:rsidR="00EC39FB" w:rsidRPr="00CB4A63" w:rsidRDefault="00EC39FB" w:rsidP="00234FF2">
      <w:pPr>
        <w:pStyle w:val="Sarakstarindkopa"/>
        <w:ind w:left="360"/>
        <w:jc w:val="both"/>
        <w:rPr>
          <w:rFonts w:eastAsia="Times New Roman"/>
          <w:highlight w:val="green"/>
        </w:rPr>
      </w:pPr>
    </w:p>
    <w:p w14:paraId="45E8AD07" w14:textId="77777777" w:rsidR="00EC39FB" w:rsidRPr="00CB4A63" w:rsidRDefault="00EC39FB" w:rsidP="00174B30">
      <w:pPr>
        <w:pStyle w:val="Sarakstarindkopa"/>
        <w:numPr>
          <w:ilvl w:val="0"/>
          <w:numId w:val="117"/>
        </w:numPr>
        <w:jc w:val="both"/>
        <w:rPr>
          <w:rFonts w:eastAsia="Times New Roman"/>
        </w:rPr>
      </w:pPr>
      <w:r>
        <w:t xml:space="preserve">Saskaņā ar CACM regulas 7. panta 4. punktu NETO sadarbība stingri jāierobežo līdz tādai pakāpei, kas nepieciešama kopīgai ND TSO funkcijas un DTSO funkcijas īstenošanai, lai būtu iespējama efektīva un droša ND un D sasaistes izveide, ieviešana un darbība. Tādēļ, neņemot vērā noteikumus, kas ir stingri nepieciešami to saskaņošanas cenu sasaistes mehānismā koordinēšanai, katra puse savā uzņēmējdarbībā saglabās pilnīgu neatkarību un pašnoteikšanos. </w:t>
      </w:r>
    </w:p>
    <w:p w14:paraId="0A42CC46" w14:textId="77777777" w:rsidR="009A771E" w:rsidRPr="00CB4A63" w:rsidRDefault="009A771E" w:rsidP="00443581">
      <w:pPr>
        <w:pStyle w:val="Sarakstarindkopa"/>
        <w:spacing w:after="120"/>
        <w:ind w:left="1080"/>
        <w:jc w:val="both"/>
        <w:rPr>
          <w:rFonts w:eastAsia="Times New Roman"/>
        </w:rPr>
      </w:pPr>
    </w:p>
    <w:p w14:paraId="3FA34E08" w14:textId="77777777" w:rsidR="00EC39FB" w:rsidRPr="00CB4A63" w:rsidRDefault="00EC39FB" w:rsidP="00174B30">
      <w:pPr>
        <w:pStyle w:val="Sarakstarindkopa"/>
        <w:numPr>
          <w:ilvl w:val="0"/>
          <w:numId w:val="117"/>
        </w:numPr>
        <w:spacing w:after="120"/>
        <w:jc w:val="both"/>
      </w:pPr>
      <w:r>
        <w:t>NETO jāspēj veikt ND un/vai D sasaistes darbības tikai tad, ja ir sagatavoti turpmāki līgumi starp NETO un PSO par starprobežu jaudas pieejamību un starprobežu piegādes nodrošināšanu. Šie līgumi ir ārpus šī TSO plāna darbības jomas.</w:t>
      </w:r>
    </w:p>
    <w:p w14:paraId="76F55003" w14:textId="77777777" w:rsidR="00EC39FB" w:rsidRPr="00CB4A63" w:rsidRDefault="00EC39FB" w:rsidP="00EC39FB">
      <w:pPr>
        <w:pStyle w:val="Sarakstarindkopa"/>
        <w:spacing w:after="120"/>
        <w:ind w:left="360"/>
        <w:jc w:val="both"/>
      </w:pPr>
    </w:p>
    <w:p w14:paraId="3C0B6B64" w14:textId="77777777" w:rsidR="00EC39FB" w:rsidRPr="00CB4A63" w:rsidRDefault="00EC39FB" w:rsidP="00174B30">
      <w:pPr>
        <w:pStyle w:val="Sarakstarindkopa"/>
        <w:numPr>
          <w:ilvl w:val="0"/>
          <w:numId w:val="117"/>
        </w:numPr>
        <w:jc w:val="both"/>
        <w:rPr>
          <w:rFonts w:eastAsia="Times New Roman"/>
        </w:rPr>
      </w:pPr>
      <w:r>
        <w:lastRenderedPageBreak/>
        <w:t>Saskaņā ar līguma struktūru, kas ierosināta šī TSO plāna 3 punkta 1. apakšpunktā, šie uzdevumi, kas atsevišķi saistīti ar ND un/vai D, jāpārvalda visiem NETO, kas izraudzīti attiecīgi ND un D:</w:t>
      </w:r>
    </w:p>
    <w:p w14:paraId="1D23AF2D" w14:textId="77777777" w:rsidR="00EC39FB" w:rsidRPr="00CB4A63" w:rsidRDefault="00382469" w:rsidP="00174B30">
      <w:pPr>
        <w:pStyle w:val="Sarakstarindkopa"/>
        <w:numPr>
          <w:ilvl w:val="1"/>
          <w:numId w:val="117"/>
        </w:numPr>
        <w:spacing w:after="120"/>
        <w:jc w:val="both"/>
      </w:pPr>
      <w:r>
        <w:t>budžeta apstiprināšana, augsta līmeņa investīcijas un TSO funkciju turpmākas izstrādes plānošana;</w:t>
      </w:r>
    </w:p>
    <w:p w14:paraId="7D040EA3" w14:textId="77777777" w:rsidR="009E0A89" w:rsidRPr="00CB4A63" w:rsidRDefault="009E0A89" w:rsidP="00174B30">
      <w:pPr>
        <w:pStyle w:val="Sarakstarindkopa"/>
        <w:numPr>
          <w:ilvl w:val="1"/>
          <w:numId w:val="117"/>
        </w:numPr>
        <w:spacing w:after="120"/>
        <w:jc w:val="both"/>
      </w:pPr>
      <w:r>
        <w:t xml:space="preserve">no funkcionējošiem NETO pāradresēto problēmu risināšana; </w:t>
      </w:r>
    </w:p>
    <w:p w14:paraId="1FB27363" w14:textId="77777777" w:rsidR="00EC39FB" w:rsidRPr="00CB4A63" w:rsidRDefault="00544F4F" w:rsidP="00174B30">
      <w:pPr>
        <w:pStyle w:val="Sarakstarindkopa"/>
        <w:numPr>
          <w:ilvl w:val="1"/>
          <w:numId w:val="117"/>
        </w:numPr>
        <w:spacing w:after="120"/>
        <w:jc w:val="both"/>
      </w:pPr>
      <w:r>
        <w:t>ārējo pārskatu un pārstāvības iesniegšana;</w:t>
      </w:r>
    </w:p>
    <w:p w14:paraId="1C014D4C" w14:textId="77777777" w:rsidR="00EC39FB" w:rsidRPr="00CB4A63" w:rsidRDefault="00544F4F" w:rsidP="00174B30">
      <w:pPr>
        <w:pStyle w:val="Sarakstarindkopa"/>
        <w:numPr>
          <w:ilvl w:val="1"/>
          <w:numId w:val="117"/>
        </w:numPr>
        <w:spacing w:after="120"/>
        <w:jc w:val="both"/>
      </w:pPr>
      <w:r>
        <w:t>ieinteresēto pušu konsultāciju vadība.</w:t>
      </w:r>
    </w:p>
    <w:p w14:paraId="78FF1627" w14:textId="77777777" w:rsidR="008D5A56" w:rsidRPr="00CB4A63" w:rsidRDefault="00EC39FB" w:rsidP="00443581">
      <w:pPr>
        <w:ind w:left="360"/>
        <w:jc w:val="both"/>
      </w:pPr>
      <w:r>
        <w:t xml:space="preserve">Jebkurš lēmums, kas nepieciešams, lai izpildītu uzdevumus, ko veic attiecīgi ND un/vai D izraudzītie NETO, jāpieņem visu NETO komitejai, kā aprakstīts šī TSO plāna 4. punktā. </w:t>
      </w:r>
    </w:p>
    <w:p w14:paraId="6D01C330" w14:textId="77777777" w:rsidR="00EC39FB" w:rsidRPr="00CB4A63" w:rsidRDefault="00EC39FB" w:rsidP="00174B30">
      <w:pPr>
        <w:pStyle w:val="Sarakstarindkopa"/>
        <w:numPr>
          <w:ilvl w:val="0"/>
          <w:numId w:val="117"/>
        </w:numPr>
        <w:jc w:val="both"/>
        <w:rPr>
          <w:rFonts w:eastAsia="Times New Roman"/>
        </w:rPr>
      </w:pPr>
      <w:r>
        <w:t>Saskaņā ar šī TSO plāna 3. punkta 1. apakšpunktā ierosināto līguma struktūru šie uzdevumi jāvada funkcionējošiem NETO, kas ir parakstījuši attiecīgo NETO darbības līgumu, kā aprakstīts šī TSO plāna 3. punkta 1. b apakšpunktā:</w:t>
      </w:r>
    </w:p>
    <w:p w14:paraId="77A9ED5D" w14:textId="77777777" w:rsidR="00EC39FB" w:rsidRPr="00CB4A63" w:rsidRDefault="00544F4F" w:rsidP="00174B30">
      <w:pPr>
        <w:pStyle w:val="Sarakstarindkopa"/>
        <w:numPr>
          <w:ilvl w:val="1"/>
          <w:numId w:val="117"/>
        </w:numPr>
        <w:spacing w:after="120"/>
        <w:jc w:val="both"/>
      </w:pPr>
      <w:r>
        <w:t>attiecīgo ND un/vai D tirgus sasaistes īstenošanai nepieciešamo noteikumu</w:t>
      </w:r>
      <w:r>
        <w:rPr>
          <w:rStyle w:val="Vresatsauce"/>
        </w:rPr>
        <w:footnoteReference w:id="3"/>
      </w:r>
      <w:r>
        <w:t xml:space="preserve"> un procedūru apstiprināšana;</w:t>
      </w:r>
    </w:p>
    <w:p w14:paraId="4D03FC66" w14:textId="77777777" w:rsidR="00EC39FB" w:rsidRPr="00CB4A63" w:rsidRDefault="00544F4F" w:rsidP="00174B30">
      <w:pPr>
        <w:pStyle w:val="Sarakstarindkopa"/>
        <w:numPr>
          <w:ilvl w:val="1"/>
          <w:numId w:val="117"/>
        </w:numPr>
        <w:spacing w:after="120"/>
        <w:jc w:val="both"/>
      </w:pPr>
      <w:r>
        <w:t>priekšlikumu par investīcijām, budžetu un plānošanu turpmākai TSO funkcijas izstrādei sagatavošana, kā norādīts šī TSO plāna 3. punkta 7.a apakšpunktā.</w:t>
      </w:r>
    </w:p>
    <w:p w14:paraId="2CF6B963" w14:textId="77777777" w:rsidR="00EC39FB" w:rsidRPr="00CB4A63" w:rsidRDefault="004C7D89" w:rsidP="00174B30">
      <w:pPr>
        <w:pStyle w:val="Sarakstarindkopa"/>
        <w:numPr>
          <w:ilvl w:val="1"/>
          <w:numId w:val="117"/>
        </w:numPr>
        <w:spacing w:after="120"/>
        <w:jc w:val="both"/>
      </w:pPr>
      <w:r>
        <w:t>izmaiņu kontroles procesa pārvaldība, tā ietekmes novērtējums un izmaiņu ieviešanas pārraudzība.</w:t>
      </w:r>
    </w:p>
    <w:p w14:paraId="1032C6C3" w14:textId="77777777" w:rsidR="00EC39FB" w:rsidRPr="00CB4A63" w:rsidRDefault="00EC39FB" w:rsidP="00443581">
      <w:pPr>
        <w:ind w:left="360"/>
        <w:jc w:val="both"/>
        <w:rPr>
          <w:rFonts w:eastAsia="Times New Roman"/>
        </w:rPr>
      </w:pPr>
      <w:r>
        <w:t xml:space="preserve">Jebkurš lēmums, kas nepieciešams iepriekšminēto uzdevumu izpildei, jāpieņem vienprātīgi. Lēmums jāpāradresē visu NETO komitejai, ja funkcionējošie NETO nevar vienoties. </w:t>
      </w:r>
    </w:p>
    <w:p w14:paraId="06FFD85F" w14:textId="77777777" w:rsidR="00EC39FB" w:rsidRPr="00CB4A63" w:rsidRDefault="00194BC8" w:rsidP="00174B30">
      <w:pPr>
        <w:pStyle w:val="Sarakstarindkopa"/>
        <w:numPr>
          <w:ilvl w:val="0"/>
          <w:numId w:val="117"/>
        </w:numPr>
        <w:jc w:val="both"/>
        <w:rPr>
          <w:rFonts w:eastAsia="Times New Roman"/>
        </w:rPr>
      </w:pPr>
      <w:r>
        <w:t>Saskaņā ar šo līguma struktūru, kas ierosināta šī TSO plāna 3. punkta 1. apakšpunktā, šie uzdevumi jāvada visiem NETO, kuri ir koordinatori, koordinatoru vietnieki vai operatori ND, vai funkcionējošiem NETO D:</w:t>
      </w:r>
    </w:p>
    <w:p w14:paraId="201C6A76" w14:textId="77777777" w:rsidR="00EC39FB" w:rsidRPr="00CB4A63" w:rsidRDefault="007B1C5F" w:rsidP="00174B30">
      <w:pPr>
        <w:pStyle w:val="Sarakstarindkopa"/>
        <w:numPr>
          <w:ilvl w:val="1"/>
          <w:numId w:val="117"/>
        </w:numPr>
        <w:spacing w:after="120"/>
        <w:jc w:val="both"/>
      </w:pPr>
      <w:r>
        <w:t>TSO funkcijas uzturēšana un īstenošana ikdienā saskaņā ar noteikumiem un procedūrām, par ko vienojušies funkcionālie NETO;</w:t>
      </w:r>
    </w:p>
    <w:p w14:paraId="7D2D0250" w14:textId="77777777" w:rsidR="00EC39FB" w:rsidRPr="00CB4A63" w:rsidRDefault="007B1C5F" w:rsidP="00174B30">
      <w:pPr>
        <w:pStyle w:val="Sarakstarindkopa"/>
        <w:numPr>
          <w:ilvl w:val="1"/>
          <w:numId w:val="117"/>
        </w:numPr>
        <w:spacing w:after="120"/>
        <w:jc w:val="both"/>
      </w:pPr>
      <w:r>
        <w:t>procedūru pielietojums reāllaikā TSO funkcijas darbībā;</w:t>
      </w:r>
    </w:p>
    <w:p w14:paraId="42BEA1E9" w14:textId="77777777" w:rsidR="00EC39FB" w:rsidRPr="00CB4A63" w:rsidRDefault="007B1C5F" w:rsidP="00174B30">
      <w:pPr>
        <w:pStyle w:val="Sarakstarindkopa"/>
        <w:numPr>
          <w:ilvl w:val="1"/>
          <w:numId w:val="117"/>
        </w:numPr>
        <w:spacing w:after="120"/>
        <w:jc w:val="both"/>
      </w:pPr>
      <w:r>
        <w:t>TSO funkcijas darbībā radušos incidentu analizēšana;</w:t>
      </w:r>
    </w:p>
    <w:p w14:paraId="26564262" w14:textId="77777777" w:rsidR="00EC39FB" w:rsidRPr="00CB4A63" w:rsidRDefault="007B1C5F" w:rsidP="00174B30">
      <w:pPr>
        <w:pStyle w:val="Sarakstarindkopa"/>
        <w:numPr>
          <w:ilvl w:val="1"/>
          <w:numId w:val="117"/>
        </w:numPr>
        <w:spacing w:after="120"/>
        <w:jc w:val="both"/>
      </w:pPr>
      <w:r>
        <w:t>nodrošināt jebkura funkcionējošā NETO lēmuma pieņemšanas procesā nepieciešamo atbalstu analīzei un testēšanai, kas saistīta ar TSO funkcijas tālāku izstrādi.</w:t>
      </w:r>
    </w:p>
    <w:p w14:paraId="563D822A" w14:textId="77777777" w:rsidR="00D66DB2" w:rsidRPr="00CB4A63" w:rsidRDefault="00EC39FB" w:rsidP="00D66DB2">
      <w:pPr>
        <w:ind w:left="360"/>
        <w:jc w:val="both"/>
        <w:rPr>
          <w:rFonts w:eastAsia="Times New Roman"/>
        </w:rPr>
      </w:pPr>
      <w:r>
        <w:t xml:space="preserve">Jebkura darbība, kas nepieciešama, lai veiktu iepriekšminētos uzdevumus, jāpieņem saskaņā ar pieņemtajām procedūrām. </w:t>
      </w:r>
    </w:p>
    <w:p w14:paraId="10B779ED" w14:textId="77777777" w:rsidR="00EC39FB" w:rsidRPr="00CB4A63" w:rsidRDefault="007144F4" w:rsidP="00174B30">
      <w:pPr>
        <w:pStyle w:val="Sarakstarindkopa"/>
        <w:numPr>
          <w:ilvl w:val="0"/>
          <w:numId w:val="117"/>
        </w:numPr>
        <w:spacing w:after="120"/>
        <w:jc w:val="both"/>
        <w:rPr>
          <w:rFonts w:eastAsia="Times New Roman"/>
        </w:rPr>
      </w:pPr>
      <w:r>
        <w:t xml:space="preserve">Saskaņā ar CACM regulas 81. pantu NETO var deleģēt ar TSO funkcijas izpildi saistītās operatīvās darbības apkalpojošam NETO.  Šajā gadījumā: </w:t>
      </w:r>
    </w:p>
    <w:p w14:paraId="69CD2574" w14:textId="77777777" w:rsidR="00EC39FB" w:rsidRPr="00CB4A63" w:rsidRDefault="007B1C5F" w:rsidP="00174B30">
      <w:pPr>
        <w:pStyle w:val="Sarakstarindkopa"/>
        <w:numPr>
          <w:ilvl w:val="1"/>
          <w:numId w:val="117"/>
        </w:numPr>
        <w:spacing w:after="120"/>
        <w:jc w:val="both"/>
        <w:rPr>
          <w:rFonts w:eastAsia="Times New Roman"/>
        </w:rPr>
      </w:pPr>
      <w:r>
        <w:t>deleģējošais NETO (turpmāk – „apkalpotais NETO”) saglabā atbildību par TSO funkcijas īstenošanu;</w:t>
      </w:r>
    </w:p>
    <w:p w14:paraId="7E22C15B" w14:textId="77777777" w:rsidR="006219DD" w:rsidRPr="00CB4A63" w:rsidRDefault="00EC39FB" w:rsidP="00174B30">
      <w:pPr>
        <w:pStyle w:val="Sarakstarindkopa"/>
        <w:numPr>
          <w:ilvl w:val="1"/>
          <w:numId w:val="117"/>
        </w:numPr>
        <w:spacing w:after="120"/>
        <w:jc w:val="both"/>
        <w:rPr>
          <w:rFonts w:eastAsia="Times New Roman"/>
        </w:rPr>
      </w:pPr>
      <w:r>
        <w:t xml:space="preserve">operatīvo darbību deleģēšana no viena NETO citam saskaņā ar 3. punkta 9. apakšpunktu tiks veikta, izmantojot divpusējus līgumus, kas noslēgti starp apkalpoto NETO un apkalpojošo NETO un kam jāatbilst NETO darbības līgumos un CACM regulā izklāstītajiem noteikumiem; </w:t>
      </w:r>
    </w:p>
    <w:p w14:paraId="1660C7AF" w14:textId="77777777" w:rsidR="00EC39FB" w:rsidRPr="00CB4A63" w:rsidRDefault="00D66DB2" w:rsidP="00174B30">
      <w:pPr>
        <w:pStyle w:val="Sarakstarindkopa"/>
        <w:numPr>
          <w:ilvl w:val="1"/>
          <w:numId w:val="117"/>
        </w:numPr>
        <w:spacing w:after="120"/>
        <w:jc w:val="both"/>
        <w:rPr>
          <w:rFonts w:eastAsia="Times New Roman"/>
        </w:rPr>
      </w:pPr>
      <w:r>
        <w:lastRenderedPageBreak/>
        <w:t>neskarot tiesības saskaņā ar šī TSO plāna 3. punkta 7. apakšpunktu un 3. punkta 8. apakšpunktu, apkalpotais NETO deleģē apkalpojošajam NETO operatīvo lēmumu pieņemšanu saskaņā ar 3. punkta 9. apakšpunktu.</w:t>
      </w:r>
    </w:p>
    <w:p w14:paraId="19D92F5C" w14:textId="77777777" w:rsidR="00EC39FB" w:rsidRPr="00CB4A63" w:rsidRDefault="00EC39FB" w:rsidP="00EC39FB">
      <w:pPr>
        <w:pStyle w:val="Sarakstarindkopa"/>
        <w:rPr>
          <w:rFonts w:eastAsia="Times New Roman"/>
        </w:rPr>
      </w:pPr>
    </w:p>
    <w:p w14:paraId="3BFAAB66" w14:textId="77777777" w:rsidR="00EC39FB" w:rsidRPr="00CB4A63" w:rsidRDefault="00EC39FB" w:rsidP="00174B30">
      <w:pPr>
        <w:pStyle w:val="Sarakstarindkopa"/>
        <w:numPr>
          <w:ilvl w:val="0"/>
          <w:numId w:val="117"/>
        </w:numPr>
        <w:spacing w:after="120"/>
        <w:jc w:val="both"/>
      </w:pPr>
      <w:r>
        <w:t xml:space="preserve">NETO var piemērot dažādus pārvaldības noteikumus ND un/vai D, ievērojot vispārējos nediskriminācijas principus un saglabājot vienādus noteikumus, ko nosaka CACM regula un šis TSO plāns. </w:t>
      </w:r>
    </w:p>
    <w:p w14:paraId="1A8E2CC4" w14:textId="77777777" w:rsidR="00AB1E1D" w:rsidRPr="00CB4A63" w:rsidRDefault="00AB1E1D" w:rsidP="00AB1E1D">
      <w:pPr>
        <w:pStyle w:val="Sarakstarindkopa"/>
      </w:pPr>
    </w:p>
    <w:p w14:paraId="5B582455" w14:textId="77777777" w:rsidR="00EC39FB" w:rsidRPr="00CB4A63" w:rsidRDefault="00984B8C" w:rsidP="00174B30">
      <w:pPr>
        <w:pStyle w:val="Sarakstarindkopa"/>
        <w:numPr>
          <w:ilvl w:val="0"/>
          <w:numId w:val="117"/>
        </w:numPr>
        <w:spacing w:after="120"/>
        <w:jc w:val="both"/>
        <w:rPr>
          <w:rFonts w:eastAsia="Times New Roman"/>
        </w:rPr>
      </w:pPr>
      <w:bookmarkStart w:id="39" w:name="_Ref250899991"/>
      <w:r>
        <w:t xml:space="preserve">Pienācīgi ievērojot CACM regulas mērķus un piemērojamās Eiropas un valsts tiesību normas, TSO funkcijas sistēma un pakalpojumu nodrošinātāji jāizvēlas saskaņā ar vienlīdzīgas attieksmes, izvēles kritēriju objektivitātes, pārredzamības, ekonomiskās efektivitātes, iedarbīguma un savlaicīguma principiem. </w:t>
      </w:r>
      <w:bookmarkEnd w:id="39"/>
    </w:p>
    <w:p w14:paraId="5F76B582" w14:textId="77777777" w:rsidR="00984B8C" w:rsidRPr="00CB4A63" w:rsidRDefault="00984B8C" w:rsidP="00AC0D87">
      <w:pPr>
        <w:pStyle w:val="Sarakstarindkopa"/>
        <w:rPr>
          <w:b/>
        </w:rPr>
      </w:pPr>
    </w:p>
    <w:p w14:paraId="681E13E4" w14:textId="77777777" w:rsidR="00211775" w:rsidRPr="00CB4A63" w:rsidRDefault="00211775" w:rsidP="00AC0D87">
      <w:pPr>
        <w:pStyle w:val="Sarakstarindkopa"/>
        <w:rPr>
          <w:b/>
        </w:rPr>
      </w:pPr>
    </w:p>
    <w:p w14:paraId="64EDFF99" w14:textId="77777777" w:rsidR="00211775" w:rsidRPr="00CB4A63" w:rsidRDefault="00211775" w:rsidP="00AC0D87">
      <w:pPr>
        <w:pStyle w:val="Sarakstarindkopa"/>
        <w:rPr>
          <w:b/>
        </w:rPr>
      </w:pPr>
    </w:p>
    <w:p w14:paraId="19736E65" w14:textId="77777777" w:rsidR="00730ADA" w:rsidRPr="00CB4A63" w:rsidRDefault="00730ADA" w:rsidP="00AC0D87">
      <w:pPr>
        <w:pStyle w:val="Sarakstarindkopa"/>
        <w:rPr>
          <w:b/>
        </w:rPr>
      </w:pPr>
    </w:p>
    <w:p w14:paraId="7C5EDC0C" w14:textId="77777777" w:rsidR="00730ADA" w:rsidRPr="00CB4A63" w:rsidRDefault="00730ADA" w:rsidP="00AC0D87">
      <w:pPr>
        <w:pStyle w:val="Sarakstarindkopa"/>
        <w:rPr>
          <w:b/>
        </w:rPr>
      </w:pPr>
    </w:p>
    <w:p w14:paraId="5E2CC3E0" w14:textId="77777777" w:rsidR="00730ADA" w:rsidRPr="00CB4A63" w:rsidRDefault="00730ADA" w:rsidP="00AC0D87">
      <w:pPr>
        <w:pStyle w:val="Sarakstarindkopa"/>
        <w:rPr>
          <w:b/>
        </w:rPr>
      </w:pPr>
    </w:p>
    <w:p w14:paraId="76634A9A" w14:textId="77777777" w:rsidR="00730ADA" w:rsidRPr="00CB4A63" w:rsidRDefault="00730ADA" w:rsidP="00AC0D87">
      <w:pPr>
        <w:pStyle w:val="Sarakstarindkopa"/>
        <w:rPr>
          <w:b/>
        </w:rPr>
      </w:pPr>
    </w:p>
    <w:p w14:paraId="5A31FB2B" w14:textId="77777777" w:rsidR="00730ADA" w:rsidRPr="00CB4A63" w:rsidRDefault="00730ADA" w:rsidP="00AC0D87">
      <w:pPr>
        <w:pStyle w:val="Sarakstarindkopa"/>
        <w:rPr>
          <w:b/>
        </w:rPr>
      </w:pPr>
    </w:p>
    <w:p w14:paraId="4A7D78F6" w14:textId="77777777" w:rsidR="00730ADA" w:rsidRPr="00CB4A63" w:rsidRDefault="00730ADA" w:rsidP="00AC0D87">
      <w:pPr>
        <w:pStyle w:val="Sarakstarindkopa"/>
        <w:rPr>
          <w:b/>
        </w:rPr>
      </w:pPr>
    </w:p>
    <w:p w14:paraId="4A965520" w14:textId="77777777" w:rsidR="00730ADA" w:rsidRPr="00CB4A63" w:rsidRDefault="00730ADA" w:rsidP="00AC0D87">
      <w:pPr>
        <w:pStyle w:val="Sarakstarindkopa"/>
        <w:rPr>
          <w:b/>
        </w:rPr>
      </w:pPr>
    </w:p>
    <w:p w14:paraId="044C8BB7" w14:textId="77777777" w:rsidR="00730ADA" w:rsidRPr="00CB4A63" w:rsidRDefault="00730ADA" w:rsidP="00AC0D87">
      <w:pPr>
        <w:pStyle w:val="Sarakstarindkopa"/>
        <w:rPr>
          <w:b/>
        </w:rPr>
      </w:pPr>
    </w:p>
    <w:p w14:paraId="07988BDA" w14:textId="77777777" w:rsidR="00730ADA" w:rsidRPr="00CB4A63" w:rsidRDefault="00730ADA" w:rsidP="00AC0D87">
      <w:pPr>
        <w:pStyle w:val="Sarakstarindkopa"/>
        <w:rPr>
          <w:b/>
        </w:rPr>
      </w:pPr>
    </w:p>
    <w:p w14:paraId="0239EFA8" w14:textId="77777777" w:rsidR="00730ADA" w:rsidRPr="00CB4A63" w:rsidRDefault="00730ADA" w:rsidP="00AC0D87">
      <w:pPr>
        <w:pStyle w:val="Sarakstarindkopa"/>
        <w:rPr>
          <w:b/>
        </w:rPr>
      </w:pPr>
    </w:p>
    <w:p w14:paraId="03ABC21F" w14:textId="77777777" w:rsidR="00730ADA" w:rsidRPr="00CB4A63" w:rsidRDefault="00730ADA" w:rsidP="00AC0D87">
      <w:pPr>
        <w:pStyle w:val="Sarakstarindkopa"/>
        <w:rPr>
          <w:b/>
        </w:rPr>
      </w:pPr>
    </w:p>
    <w:p w14:paraId="6F42DAAE" w14:textId="77777777" w:rsidR="00730ADA" w:rsidRPr="00CB4A63" w:rsidRDefault="00730ADA" w:rsidP="00AC0D87">
      <w:pPr>
        <w:pStyle w:val="Sarakstarindkopa"/>
        <w:rPr>
          <w:b/>
        </w:rPr>
      </w:pPr>
    </w:p>
    <w:p w14:paraId="72CC379D" w14:textId="77777777" w:rsidR="00730ADA" w:rsidRPr="00CB4A63" w:rsidRDefault="00730ADA" w:rsidP="00AC0D87">
      <w:pPr>
        <w:pStyle w:val="Sarakstarindkopa"/>
        <w:rPr>
          <w:b/>
        </w:rPr>
      </w:pPr>
    </w:p>
    <w:p w14:paraId="1F7E810A" w14:textId="77777777" w:rsidR="00A215CB" w:rsidRPr="00CB4A63" w:rsidRDefault="00A215CB" w:rsidP="00AC0D87">
      <w:pPr>
        <w:pStyle w:val="Sarakstarindkopa"/>
        <w:rPr>
          <w:b/>
        </w:rPr>
      </w:pPr>
    </w:p>
    <w:p w14:paraId="45AD661E" w14:textId="77777777" w:rsidR="00384754" w:rsidRDefault="00384754">
      <w:pPr>
        <w:spacing w:after="160" w:line="259" w:lineRule="auto"/>
        <w:rPr>
          <w:b/>
        </w:rPr>
      </w:pPr>
      <w:bookmarkStart w:id="40" w:name="_Toc444699140"/>
      <w:bookmarkStart w:id="41" w:name="_Toc444849216"/>
      <w:bookmarkStart w:id="42" w:name="_Toc479786205"/>
      <w:r>
        <w:rPr>
          <w:bCs/>
        </w:rPr>
        <w:br w:type="page"/>
      </w:r>
    </w:p>
    <w:p w14:paraId="6E6F1963" w14:textId="629D4002" w:rsidR="00EC39FB" w:rsidRPr="00CB4A63" w:rsidRDefault="00EC39FB" w:rsidP="003869E2">
      <w:pPr>
        <w:pStyle w:val="Virsraksts1"/>
      </w:pPr>
      <w:bookmarkStart w:id="43" w:name="_Toc484770684"/>
      <w:r>
        <w:lastRenderedPageBreak/>
        <w:t>VISU NETO KOMITEJA</w:t>
      </w:r>
      <w:bookmarkEnd w:id="40"/>
      <w:bookmarkEnd w:id="41"/>
      <w:bookmarkEnd w:id="42"/>
      <w:bookmarkEnd w:id="43"/>
    </w:p>
    <w:p w14:paraId="372DD570" w14:textId="77777777" w:rsidR="00D90D19" w:rsidRPr="00CB4A63" w:rsidRDefault="00D90D19" w:rsidP="00D90D19">
      <w:pPr>
        <w:pStyle w:val="Virsraksts2"/>
        <w:ind w:left="578" w:hanging="578"/>
      </w:pPr>
      <w:bookmarkStart w:id="44" w:name="_Toc479786206"/>
      <w:bookmarkStart w:id="45" w:name="_Toc484770685"/>
      <w:r>
        <w:t>Visu NETO sadarbības līgums (VNSL)</w:t>
      </w:r>
      <w:bookmarkEnd w:id="44"/>
      <w:bookmarkEnd w:id="45"/>
    </w:p>
    <w:p w14:paraId="746207DF" w14:textId="77777777" w:rsidR="00D90D19" w:rsidRPr="00CB4A63" w:rsidRDefault="00D90D19" w:rsidP="00384080">
      <w:pPr>
        <w:pStyle w:val="Sarakstarindkopa"/>
        <w:numPr>
          <w:ilvl w:val="0"/>
          <w:numId w:val="5"/>
        </w:numPr>
        <w:jc w:val="both"/>
        <w:rPr>
          <w:rFonts w:eastAsia="Times New Roman"/>
        </w:rPr>
      </w:pPr>
      <w:r>
        <w:t>Lai varētu piedalīties nākamās dienas un diennakts sasaistē saskaņā ar CACM regulu visiem NETO jānoslēdz VNSL. Juridiskajai personai, kas izraudzīta kā NETO vismaz vienā solīšanas zonā, jābūt tiesīgai pievienoties VNSL un visu NETO komitejai.  NETO, kas pievienojas, var pieprasīt veikt grozījumus VNSL.</w:t>
      </w:r>
    </w:p>
    <w:p w14:paraId="6FD4DC36" w14:textId="77777777" w:rsidR="00F04BE8" w:rsidRPr="00CB4A63" w:rsidRDefault="00F04BE8" w:rsidP="00F04BE8">
      <w:pPr>
        <w:pStyle w:val="Sarakstarindkopa"/>
        <w:jc w:val="both"/>
        <w:rPr>
          <w:rFonts w:eastAsia="Times New Roman"/>
        </w:rPr>
      </w:pPr>
    </w:p>
    <w:p w14:paraId="5410FA87" w14:textId="77777777" w:rsidR="00D90D19" w:rsidRPr="00CB4A63" w:rsidRDefault="00D90D19" w:rsidP="00384080">
      <w:pPr>
        <w:pStyle w:val="Sarakstarindkopa"/>
        <w:numPr>
          <w:ilvl w:val="0"/>
          <w:numId w:val="5"/>
        </w:numPr>
        <w:jc w:val="both"/>
        <w:rPr>
          <w:rFonts w:eastAsia="Times New Roman"/>
        </w:rPr>
      </w:pPr>
      <w:r>
        <w:t>VNSL:</w:t>
      </w:r>
    </w:p>
    <w:p w14:paraId="2A67F113" w14:textId="77777777" w:rsidR="00D90D19" w:rsidRPr="00CB4A63" w:rsidRDefault="00D90D19" w:rsidP="00384080">
      <w:pPr>
        <w:pStyle w:val="Sarakstarindkopa"/>
        <w:numPr>
          <w:ilvl w:val="0"/>
          <w:numId w:val="27"/>
        </w:numPr>
        <w:spacing w:after="120"/>
        <w:jc w:val="both"/>
      </w:pPr>
      <w:r>
        <w:t>jāizveido visu NETO komiteja, kā tālāk aprakstīts šī TSO plāna 4.2. punktā;</w:t>
      </w:r>
    </w:p>
    <w:p w14:paraId="70982C2F" w14:textId="77777777" w:rsidR="00D90D19" w:rsidRPr="00CB4A63" w:rsidRDefault="00D90D19" w:rsidP="00384080">
      <w:pPr>
        <w:pStyle w:val="Sarakstarindkopa"/>
        <w:numPr>
          <w:ilvl w:val="0"/>
          <w:numId w:val="27"/>
        </w:numPr>
        <w:spacing w:after="120"/>
        <w:jc w:val="both"/>
      </w:pPr>
      <w:r>
        <w:t>jāizveido pāradresācijas procedūra, lai risinātu gadījumus, kad kāds NETO atsakās parakstīt vai apstiprināt pārskatītu ND un/vai D NETO darbības līgumu versiju;</w:t>
      </w:r>
    </w:p>
    <w:p w14:paraId="18E3EF74" w14:textId="77777777" w:rsidR="00D90D19" w:rsidRPr="00CB4A63" w:rsidRDefault="00F94EB7" w:rsidP="00384080">
      <w:pPr>
        <w:pStyle w:val="Sarakstarindkopa"/>
        <w:numPr>
          <w:ilvl w:val="0"/>
          <w:numId w:val="27"/>
        </w:numPr>
        <w:spacing w:after="120"/>
        <w:jc w:val="both"/>
      </w:pPr>
      <w:r>
        <w:t>jāizveido lēmumu pieņemšanas noteikumi visu NETO komitejai, pamatojoties uz CACM regulas 9. pantu;</w:t>
      </w:r>
    </w:p>
    <w:p w14:paraId="7B65E9A9" w14:textId="77777777" w:rsidR="00D90D19" w:rsidRPr="00CB4A63" w:rsidRDefault="00D90D19" w:rsidP="00384080">
      <w:pPr>
        <w:pStyle w:val="Sarakstarindkopa"/>
        <w:numPr>
          <w:ilvl w:val="0"/>
          <w:numId w:val="27"/>
        </w:numPr>
        <w:spacing w:after="120"/>
        <w:jc w:val="both"/>
      </w:pPr>
      <w:r>
        <w:t>jānodrošina pievienošanās process;</w:t>
      </w:r>
    </w:p>
    <w:p w14:paraId="0FC20543" w14:textId="77777777" w:rsidR="00D90D19" w:rsidRPr="00CB4A63" w:rsidRDefault="00D90D19" w:rsidP="00384080">
      <w:pPr>
        <w:pStyle w:val="Sarakstarindkopa"/>
        <w:numPr>
          <w:ilvl w:val="0"/>
          <w:numId w:val="27"/>
        </w:numPr>
        <w:spacing w:after="120"/>
        <w:jc w:val="both"/>
      </w:pPr>
      <w:r>
        <w:t xml:space="preserve">jābūt izveidotam, pamatojoties uz šajā TSO plānā noteiktajiem principiem, un visiem NETO tas vienbalsīgi jāapstiprina. </w:t>
      </w:r>
    </w:p>
    <w:p w14:paraId="2150A166" w14:textId="77777777" w:rsidR="00207FFD" w:rsidRPr="00CB4A63" w:rsidRDefault="00207FFD" w:rsidP="00207FFD">
      <w:pPr>
        <w:pStyle w:val="Sarakstarindkopa"/>
        <w:spacing w:after="120"/>
        <w:ind w:left="1080"/>
        <w:jc w:val="both"/>
      </w:pPr>
    </w:p>
    <w:p w14:paraId="2D4C9987" w14:textId="77777777" w:rsidR="00D90D19" w:rsidRPr="00CB4A63" w:rsidRDefault="00D90D19" w:rsidP="00384080">
      <w:pPr>
        <w:pStyle w:val="Sarakstarindkopa"/>
        <w:numPr>
          <w:ilvl w:val="0"/>
          <w:numId w:val="5"/>
        </w:numPr>
        <w:jc w:val="both"/>
      </w:pPr>
      <w:r>
        <w:t>Juridiskajai personai, kas izraudzīta kā NETO valstī ārpus ES, jābūt tiesīgai pievienoties VNSL un visu NETO komitejai, ja tā atbilst CACM regulas 1. panta 4. punkta prasībām.</w:t>
      </w:r>
    </w:p>
    <w:p w14:paraId="6EAA90DA" w14:textId="77777777" w:rsidR="00D90D19" w:rsidRPr="00CB4A63" w:rsidRDefault="00D90D19" w:rsidP="00D90D19">
      <w:pPr>
        <w:pStyle w:val="Sarakstarindkopa"/>
        <w:jc w:val="both"/>
      </w:pPr>
    </w:p>
    <w:p w14:paraId="2083FFF8" w14:textId="77777777" w:rsidR="00D90D19" w:rsidRPr="00CB4A63" w:rsidRDefault="00D90D19" w:rsidP="00384080">
      <w:pPr>
        <w:pStyle w:val="Sarakstarindkopa"/>
        <w:numPr>
          <w:ilvl w:val="0"/>
          <w:numId w:val="5"/>
        </w:numPr>
        <w:jc w:val="both"/>
      </w:pPr>
      <w:r>
        <w:t xml:space="preserve">Juridiskajai personai, kas izraudzīta kā NETO valstī ārpus ES un kas piedalās ND un/vai D sasaistē, jābūt tiesībām un atbildībai, kas līdzvērtīgas dalībvalstī izvirzīta NETO tiesībām un atbildībai, lai būtu iespējama netraucēta Eiropas Savienības līmenī ieviesto nākamās dienas un diennakts sasaistes sistēmu darbība, kā arī vienādi noteikumi visām ieinteresētajām pusēm. </w:t>
      </w:r>
    </w:p>
    <w:p w14:paraId="02FFA1D7" w14:textId="77777777" w:rsidR="00D90D19" w:rsidRPr="00CB4A63" w:rsidRDefault="00D90D19" w:rsidP="00D90D19">
      <w:pPr>
        <w:pStyle w:val="Sarakstarindkopa"/>
        <w:jc w:val="both"/>
        <w:rPr>
          <w:rFonts w:eastAsia="Times New Roman"/>
        </w:rPr>
      </w:pPr>
    </w:p>
    <w:p w14:paraId="23F0794B" w14:textId="77777777" w:rsidR="00D90D19" w:rsidRPr="00CB4A63" w:rsidRDefault="00D90D19" w:rsidP="00D90D19">
      <w:pPr>
        <w:pStyle w:val="Virsraksts2"/>
        <w:ind w:left="578" w:hanging="578"/>
      </w:pPr>
      <w:bookmarkStart w:id="46" w:name="_Toc479786207"/>
      <w:bookmarkStart w:id="47" w:name="_Toc484770686"/>
      <w:r>
        <w:t>Visu NETO komiteja: lomas un atbildība</w:t>
      </w:r>
      <w:bookmarkEnd w:id="46"/>
      <w:bookmarkEnd w:id="47"/>
    </w:p>
    <w:p w14:paraId="5B69F0F6" w14:textId="77777777" w:rsidR="007611B8" w:rsidRPr="00CB4A63" w:rsidRDefault="00EC39FB" w:rsidP="00174B30">
      <w:pPr>
        <w:pStyle w:val="Sarakstarindkopa"/>
        <w:numPr>
          <w:ilvl w:val="0"/>
          <w:numId w:val="118"/>
        </w:numPr>
        <w:jc w:val="both"/>
      </w:pPr>
      <w:r>
        <w:t>Visu NETO komitejai jāveicina NETO sadarbība visos kopīgajos Eiropas uzdevumos, kas nepieciešami efektīvai un drošai nākamās dienas un diennakts sasaistes izveidei, ieviešanai un īstenošanai.</w:t>
      </w:r>
    </w:p>
    <w:p w14:paraId="0A4DFF7D" w14:textId="77777777" w:rsidR="00EC39FB" w:rsidRPr="00CB4A63" w:rsidRDefault="00EC39FB" w:rsidP="007611B8">
      <w:pPr>
        <w:pStyle w:val="Sarakstarindkopa"/>
        <w:jc w:val="both"/>
      </w:pPr>
      <w:r>
        <w:t xml:space="preserve">   </w:t>
      </w:r>
    </w:p>
    <w:p w14:paraId="6D4F0406" w14:textId="77777777" w:rsidR="007611B8" w:rsidRPr="00CB4A63" w:rsidRDefault="009C2C0B" w:rsidP="00174B30">
      <w:pPr>
        <w:pStyle w:val="Sarakstarindkopa"/>
        <w:numPr>
          <w:ilvl w:val="0"/>
          <w:numId w:val="118"/>
        </w:numPr>
        <w:jc w:val="both"/>
      </w:pPr>
      <w:r>
        <w:t>Lai īstenotu šo lomu, visu NETO komiteja jāveido katra NETO izvirzītajiem pārstāvjiem. NETO organizēšanai un pārstāvībai jābūt norādītai visu NETO komitejas iekšējos noteikumos, kā noteikts VNSL. Visu NETO komiteja var izveidot un likvidēt darba grupas un operatīvās grupas. Tādā gadījumā visu NETO komitejai jānosaka šīs darba grupas vai operatīvās grupas mērķis, sastāvs, organizācijas un pārvaldības pasākumi.</w:t>
      </w:r>
    </w:p>
    <w:p w14:paraId="0B5A3B11" w14:textId="77777777" w:rsidR="00EC39FB" w:rsidRPr="00CB4A63" w:rsidRDefault="00EC39FB" w:rsidP="007611B8">
      <w:pPr>
        <w:pStyle w:val="Sarakstarindkopa"/>
        <w:jc w:val="both"/>
        <w:rPr>
          <w:rFonts w:eastAsia="Times New Roman"/>
        </w:rPr>
      </w:pPr>
    </w:p>
    <w:p w14:paraId="1F98A969" w14:textId="77777777" w:rsidR="00B9257F" w:rsidRPr="00CB4A63" w:rsidRDefault="00EC39FB" w:rsidP="00174B30">
      <w:pPr>
        <w:pStyle w:val="Sarakstarindkopa"/>
        <w:numPr>
          <w:ilvl w:val="0"/>
          <w:numId w:val="118"/>
        </w:numPr>
        <w:jc w:val="both"/>
      </w:pPr>
      <w:r>
        <w:t xml:space="preserve">Visu NETO komitejai īpašā tīmekļa vietnē jāpublicē apstiprināts tās sanāksmju protokola kopsavilkums. </w:t>
      </w:r>
    </w:p>
    <w:p w14:paraId="3EA7D765" w14:textId="77777777" w:rsidR="00B9257F" w:rsidRPr="00CB4A63" w:rsidRDefault="00B9257F" w:rsidP="00443581">
      <w:pPr>
        <w:pStyle w:val="Sarakstarindkopa"/>
      </w:pPr>
    </w:p>
    <w:p w14:paraId="47FF04A6" w14:textId="77777777" w:rsidR="000666AE" w:rsidRPr="00CB4A63" w:rsidRDefault="00EC39FB" w:rsidP="00174B30">
      <w:pPr>
        <w:pStyle w:val="Sarakstarindkopa"/>
        <w:numPr>
          <w:ilvl w:val="0"/>
          <w:numId w:val="118"/>
        </w:numPr>
        <w:jc w:val="both"/>
      </w:pPr>
      <w:r>
        <w:t xml:space="preserve">Eiropas Komisija un aģentūra kā novērotāji jāuzaicina piedalīties visu NETO komitejas sanāksmēs. </w:t>
      </w:r>
    </w:p>
    <w:p w14:paraId="1D622EAC" w14:textId="77777777" w:rsidR="000666AE" w:rsidRPr="00CB4A63" w:rsidRDefault="000666AE" w:rsidP="003869E2">
      <w:pPr>
        <w:pStyle w:val="Sarakstarindkopa"/>
        <w:jc w:val="both"/>
      </w:pPr>
    </w:p>
    <w:p w14:paraId="5AA53235" w14:textId="77777777" w:rsidR="00EC39FB" w:rsidRPr="00CB4A63" w:rsidRDefault="00EC39FB" w:rsidP="00C675EB">
      <w:pPr>
        <w:pStyle w:val="Sarakstarindkopa"/>
        <w:numPr>
          <w:ilvl w:val="0"/>
          <w:numId w:val="118"/>
        </w:numPr>
        <w:jc w:val="both"/>
      </w:pPr>
      <w:r>
        <w:lastRenderedPageBreak/>
        <w:t xml:space="preserve">Visu NETO komitejai jāveicina kopīgo Eiropas uzdevumu, ko pieprasa CACM regula vai TSO plāns, izpildei nepieciešamā sadarbība starp NETO, tostarp: </w:t>
      </w:r>
    </w:p>
    <w:p w14:paraId="0E83FE2A" w14:textId="77777777" w:rsidR="00EC39FB" w:rsidRPr="00CB4A63" w:rsidRDefault="007B1C5F" w:rsidP="00384080">
      <w:pPr>
        <w:pStyle w:val="Sarakstarindkopa"/>
        <w:numPr>
          <w:ilvl w:val="0"/>
          <w:numId w:val="7"/>
        </w:numPr>
        <w:spacing w:after="120"/>
        <w:jc w:val="both"/>
      </w:pPr>
      <w:r>
        <w:t>visi uzdevumi saistībā ar TSO plāna izveidi, konsultācijām, apstiprināšanu, iesniegšanu, ieviešanu, publicēšanu un turpmākiem grozījumiem, kā to pieprasa CACM regulas 7. panta 3. punkts, un citi noteikumi vai metodēs, ko pieprasa CACM regulas 9. panta 6. punkts;</w:t>
      </w:r>
    </w:p>
    <w:p w14:paraId="78BA3BBD" w14:textId="77777777" w:rsidR="00EC39FB" w:rsidRPr="00CB4A63" w:rsidRDefault="00EC39FB" w:rsidP="00384080">
      <w:pPr>
        <w:pStyle w:val="Sarakstarindkopa"/>
        <w:numPr>
          <w:ilvl w:val="0"/>
          <w:numId w:val="7"/>
        </w:numPr>
        <w:spacing w:after="120"/>
        <w:jc w:val="both"/>
      </w:pPr>
      <w:r>
        <w:t>nepieciešamā NETO un PSO sadarbība, kurā PSO atbild par noteikumu vai metožu priekšlikumu, kas norādīti CACM regulas 9. panta 6. punktā, iesniegšanu vai grozīšanu;</w:t>
      </w:r>
    </w:p>
    <w:p w14:paraId="1B92C17E" w14:textId="77777777" w:rsidR="00AC5082" w:rsidRPr="00CB4A63" w:rsidRDefault="00AC5082" w:rsidP="00384080">
      <w:pPr>
        <w:pStyle w:val="Sarakstarindkopa"/>
        <w:numPr>
          <w:ilvl w:val="0"/>
          <w:numId w:val="7"/>
        </w:numPr>
        <w:spacing w:after="120"/>
        <w:jc w:val="both"/>
      </w:pPr>
      <w:r>
        <w:t>pārvaldības sistēmas izmaiņu noteikšana, tostarp saskaņā ar NETO ND darbības līgumu un NETO D darbības līgumu izveidoto komiteju struktūru;</w:t>
      </w:r>
    </w:p>
    <w:p w14:paraId="6815ADC0" w14:textId="77777777" w:rsidR="00EC39FB" w:rsidRPr="00CB4A63" w:rsidRDefault="00EC39FB" w:rsidP="00384080">
      <w:pPr>
        <w:pStyle w:val="Sarakstarindkopa"/>
        <w:numPr>
          <w:ilvl w:val="0"/>
          <w:numId w:val="7"/>
        </w:numPr>
        <w:spacing w:after="120"/>
        <w:jc w:val="both"/>
      </w:pPr>
      <w:r>
        <w:t>informācijas un nepieciešamo pārskatu iesniegšana aģentūrai, ENTSO-E, pārvaldes iestādēm un Eiropas Komisijai, kā to pieprasa CACM regula. Visu NETO komitejai jāziņo:</w:t>
      </w:r>
    </w:p>
    <w:p w14:paraId="22B79AAF" w14:textId="77777777" w:rsidR="00EC39FB" w:rsidRPr="00CB4A63" w:rsidRDefault="00EC39FB" w:rsidP="00174B30">
      <w:pPr>
        <w:pStyle w:val="Sarakstarindkopa"/>
        <w:numPr>
          <w:ilvl w:val="2"/>
          <w:numId w:val="118"/>
        </w:numPr>
        <w:spacing w:after="120"/>
        <w:jc w:val="both"/>
      </w:pPr>
      <w:r>
        <w:t xml:space="preserve">aģentūrai – par NETO progresu ND un DTSO funkciju izveidē un izpildē saskaņā ar CACM regulas 7. panta 5. punktu; </w:t>
      </w:r>
    </w:p>
    <w:p w14:paraId="78B5EFAE" w14:textId="77777777" w:rsidR="00EC39FB" w:rsidRPr="00CB4A63" w:rsidRDefault="00EC39FB" w:rsidP="00174B30">
      <w:pPr>
        <w:pStyle w:val="Sarakstarindkopa"/>
        <w:numPr>
          <w:ilvl w:val="2"/>
          <w:numId w:val="118"/>
        </w:numPr>
        <w:spacing w:after="120"/>
        <w:jc w:val="both"/>
      </w:pPr>
      <w:r>
        <w:t>aģentūrai sadarbībā ar PSO – lai nodrošinātu cenu sasaistes algoritma un pastāvīgā tirdzniecības saskaņošanas algoritma darbības pārskatu saskaņā ar CACM regulas 37. panta 6. punktu;</w:t>
      </w:r>
    </w:p>
    <w:p w14:paraId="76B8EAAE" w14:textId="77777777" w:rsidR="00EC39FB" w:rsidRPr="00CB4A63" w:rsidRDefault="00EC39FB" w:rsidP="00384080">
      <w:pPr>
        <w:pStyle w:val="Sarakstarindkopa"/>
        <w:numPr>
          <w:ilvl w:val="0"/>
          <w:numId w:val="7"/>
        </w:numPr>
        <w:spacing w:after="120"/>
        <w:jc w:val="both"/>
      </w:pPr>
      <w:r>
        <w:t>informācijas sniegšana ENTSO-E, ja to kopīgi pieprasījusi aģentūra un ENTSO-E, lai īstenotu pārraudzību, saskaņā ar CACM regulas 82. panta 6. punktu;</w:t>
      </w:r>
    </w:p>
    <w:p w14:paraId="2F101ACF" w14:textId="77777777" w:rsidR="00EC39FB" w:rsidRPr="00CB4A63" w:rsidRDefault="007B1C5F" w:rsidP="00384080">
      <w:pPr>
        <w:pStyle w:val="Sarakstarindkopa"/>
        <w:numPr>
          <w:ilvl w:val="0"/>
          <w:numId w:val="7"/>
        </w:numPr>
        <w:spacing w:after="120"/>
        <w:jc w:val="both"/>
      </w:pPr>
      <w:r>
        <w:t>TSO funkcijas līdzekļu (t. i., noteikumu, procedūru un specifikāciju) atbilstības CACM regulas prasībām un apstiprinātajiem noteikumiem vai metodēm nodrošināšana;</w:t>
      </w:r>
    </w:p>
    <w:p w14:paraId="17E14BF2" w14:textId="77777777" w:rsidR="005A1B66" w:rsidRPr="00CB4A63" w:rsidRDefault="005A1B66" w:rsidP="00384080">
      <w:pPr>
        <w:pStyle w:val="Sarakstarindkopa"/>
        <w:numPr>
          <w:ilvl w:val="0"/>
          <w:numId w:val="7"/>
        </w:numPr>
        <w:spacing w:after="120"/>
        <w:jc w:val="both"/>
      </w:pPr>
      <w:r>
        <w:t xml:space="preserve">kritēriju noteikšana lēmumiem saistībā ar līdzekļu vai nodrošinātāju maiņu; </w:t>
      </w:r>
    </w:p>
    <w:p w14:paraId="392B4719" w14:textId="77777777" w:rsidR="00EC39FB" w:rsidRPr="00CB4A63" w:rsidRDefault="00EC39FB" w:rsidP="00384080">
      <w:pPr>
        <w:pStyle w:val="Sarakstarindkopa"/>
        <w:numPr>
          <w:ilvl w:val="0"/>
          <w:numId w:val="7"/>
        </w:numPr>
        <w:spacing w:after="120"/>
        <w:jc w:val="both"/>
      </w:pPr>
      <w:r>
        <w:t>procesu izveide visu NETO komitejai, lai tā darbotos kā komiteju augsta līmeņa problēmu risināšanas struktūra saskaņā ar NETO ND darbības līgumu un NETO D darbības līgumu gadījumos, kad komitejas nespēj vienprātīgi vienoties. Šādos gadījumos ND operatīvajai komitejai vai D operatīvajai komitejai jāsniedz visu NETO komitejai rakstisks pārskats. Strīdiem par līgumu izpildi netiek piemērota pāradresācija visu NETO komitejai, bet tie jāregulē attiecīgajiem katra līguma noteikumiem;</w:t>
      </w:r>
    </w:p>
    <w:p w14:paraId="4C536F29" w14:textId="77777777" w:rsidR="00EC39FB" w:rsidRPr="00CB4A63" w:rsidRDefault="00EC39FB" w:rsidP="00384080">
      <w:pPr>
        <w:pStyle w:val="Sarakstarindkopa"/>
        <w:numPr>
          <w:ilvl w:val="0"/>
          <w:numId w:val="7"/>
        </w:numPr>
        <w:spacing w:after="120"/>
        <w:jc w:val="both"/>
      </w:pPr>
      <w:r>
        <w:t>gada pārskatu par progresu nodrošināšana iesaistītajām pusēm, ieviešot un izpildot ND TSO funkciju un DTSO funkciju;</w:t>
      </w:r>
    </w:p>
    <w:p w14:paraId="37DC5302" w14:textId="77777777" w:rsidR="00EC39FB" w:rsidRPr="00CB4A63" w:rsidRDefault="00EC39FB" w:rsidP="00384080">
      <w:pPr>
        <w:pStyle w:val="Sarakstarindkopa"/>
        <w:numPr>
          <w:ilvl w:val="0"/>
          <w:numId w:val="7"/>
        </w:numPr>
        <w:spacing w:after="120"/>
        <w:jc w:val="both"/>
      </w:pPr>
      <w:r>
        <w:t xml:space="preserve">ierosināto budžetu saistībā ar visu NETO atbildību apstiprināšana, kā aprakstīts šajā TSO plāna punktā.  Jāizveido process šī budžeta atjaunošanai attiecīgā gada gaitā; </w:t>
      </w:r>
    </w:p>
    <w:p w14:paraId="1A6948C6" w14:textId="77777777" w:rsidR="000B644C" w:rsidRPr="00CB4A63" w:rsidRDefault="000B644C" w:rsidP="00384080">
      <w:pPr>
        <w:pStyle w:val="Sarakstarindkopa"/>
        <w:numPr>
          <w:ilvl w:val="0"/>
          <w:numId w:val="7"/>
        </w:numPr>
        <w:spacing w:after="120"/>
        <w:jc w:val="both"/>
      </w:pPr>
      <w:r>
        <w:t xml:space="preserve">NETO dalības kopīgas PSO un NETO nākamās dienas un diennakts sasaistes ikdienas pārvaldības organizācijas izveidē un īstenošanā veicināšana saskaņā ar CACM regulas 10. pantu; </w:t>
      </w:r>
    </w:p>
    <w:p w14:paraId="54198DA0" w14:textId="77777777" w:rsidR="00EC39FB" w:rsidRPr="00CB4A63" w:rsidRDefault="00EC39FB" w:rsidP="00384080">
      <w:pPr>
        <w:pStyle w:val="Sarakstarindkopa"/>
        <w:numPr>
          <w:ilvl w:val="0"/>
          <w:numId w:val="7"/>
        </w:numPr>
        <w:spacing w:after="120"/>
        <w:jc w:val="both"/>
      </w:pPr>
      <w:r>
        <w:t xml:space="preserve">būšana par kopīgo pārvaldes iestāžu, aģentūras, ENTSO-E un Eiropas Komisijas kontaktpunktu saistībā ar ND un DTSO funkciju izveidi, ieviešanu, izpildi un grozīšanu. Tas ietver visus Komisijas uzsāktos procesus CACM regulas grozījumu apspriešanai ar NETO. </w:t>
      </w:r>
    </w:p>
    <w:p w14:paraId="735B07B7" w14:textId="77777777" w:rsidR="00EC39FB" w:rsidRPr="00CB4A63" w:rsidRDefault="00EC39FB" w:rsidP="00384080">
      <w:pPr>
        <w:pStyle w:val="Sarakstarindkopa"/>
        <w:numPr>
          <w:ilvl w:val="0"/>
          <w:numId w:val="7"/>
        </w:numPr>
        <w:spacing w:after="120"/>
        <w:jc w:val="both"/>
      </w:pPr>
      <w:r>
        <w:t xml:space="preserve">ārējā saziņa saistībā ar ND TSO funkciju un DTSO funkciju. </w:t>
      </w:r>
    </w:p>
    <w:p w14:paraId="0643FA75" w14:textId="77777777" w:rsidR="00F82FBF" w:rsidRPr="00CB4A63" w:rsidRDefault="00F82FBF" w:rsidP="00F82FBF">
      <w:pPr>
        <w:pStyle w:val="Sarakstarindkopa"/>
        <w:jc w:val="both"/>
        <w:rPr>
          <w:rFonts w:eastAsia="Times New Roman"/>
        </w:rPr>
      </w:pPr>
    </w:p>
    <w:p w14:paraId="78EC2175" w14:textId="77777777" w:rsidR="005A1B66" w:rsidRPr="00CB4A63" w:rsidRDefault="00EC39FB" w:rsidP="00174B30">
      <w:pPr>
        <w:pStyle w:val="Sarakstarindkopa"/>
        <w:numPr>
          <w:ilvl w:val="0"/>
          <w:numId w:val="118"/>
        </w:numPr>
        <w:jc w:val="both"/>
        <w:rPr>
          <w:rFonts w:eastAsia="Times New Roman"/>
        </w:rPr>
      </w:pPr>
      <w:r>
        <w:t xml:space="preserve">Visu NETO komitejas lēmumu pieņemšanas noteikumu pamatā jābūt CACM regulas 9. panta 2. punkta prasībām.  </w:t>
      </w:r>
    </w:p>
    <w:p w14:paraId="624661AB" w14:textId="77777777" w:rsidR="00EC39FB" w:rsidRPr="00CB4A63" w:rsidRDefault="005A1B66" w:rsidP="00174B30">
      <w:pPr>
        <w:pStyle w:val="Sarakstarindkopa"/>
        <w:numPr>
          <w:ilvl w:val="0"/>
          <w:numId w:val="118"/>
        </w:numPr>
        <w:jc w:val="both"/>
        <w:rPr>
          <w:rFonts w:eastAsia="Times New Roman"/>
        </w:rPr>
      </w:pPr>
      <w:r>
        <w:t>Lai novērstu neskaidrības, ar ND saistītie lēmumi jāpieņem tikai nākamās dienas tirgum izraudzītajiem NETO, un ar D tirgu saistītie lēmumi jāpieņem tikai diennakts tirgum izraudzītajiem NETO.</w:t>
      </w:r>
    </w:p>
    <w:p w14:paraId="7D1DEA4A" w14:textId="2B3B7A9C" w:rsidR="00C604BC" w:rsidRPr="00CB4A63" w:rsidRDefault="00C604BC" w:rsidP="006C7577">
      <w:pPr>
        <w:pStyle w:val="Virsraksts1"/>
      </w:pPr>
      <w:bookmarkStart w:id="48" w:name="_Toc479786208"/>
      <w:bookmarkStart w:id="49" w:name="_Toc484770687"/>
      <w:bookmarkStart w:id="50" w:name="_Toc444096096"/>
      <w:bookmarkStart w:id="51" w:name="_Toc444849217"/>
      <w:bookmarkStart w:id="52" w:name="_Toc445917279"/>
      <w:r>
        <w:lastRenderedPageBreak/>
        <w:t>IEVIEŠANAS GRAFIKS</w:t>
      </w:r>
      <w:bookmarkEnd w:id="48"/>
      <w:bookmarkEnd w:id="49"/>
      <w:r>
        <w:t xml:space="preserve"> </w:t>
      </w:r>
    </w:p>
    <w:p w14:paraId="7FB223B9" w14:textId="77777777" w:rsidR="00EF40EA" w:rsidRPr="00CB4A63" w:rsidRDefault="00EF40EA" w:rsidP="00384080">
      <w:pPr>
        <w:pStyle w:val="Virsraksts2"/>
        <w:keepNext w:val="0"/>
        <w:keepLines w:val="0"/>
        <w:numPr>
          <w:ilvl w:val="1"/>
          <w:numId w:val="28"/>
        </w:numPr>
        <w:spacing w:before="280" w:after="120" w:line="240" w:lineRule="auto"/>
        <w:ind w:right="259"/>
      </w:pPr>
      <w:bookmarkStart w:id="53" w:name="_Toc479786209"/>
      <w:bookmarkStart w:id="54" w:name="_Toc484770688"/>
      <w:bookmarkEnd w:id="50"/>
      <w:bookmarkEnd w:id="51"/>
      <w:bookmarkEnd w:id="52"/>
      <w:r>
        <w:t>ND TSO funkcijas ieviešana</w:t>
      </w:r>
      <w:bookmarkEnd w:id="53"/>
      <w:bookmarkEnd w:id="54"/>
    </w:p>
    <w:p w14:paraId="7011605F" w14:textId="77777777" w:rsidR="00EF40EA" w:rsidRPr="00CB4A63" w:rsidRDefault="00EF40EA" w:rsidP="00174B30">
      <w:pPr>
        <w:pStyle w:val="Sarakstarindkopa"/>
        <w:numPr>
          <w:ilvl w:val="0"/>
          <w:numId w:val="94"/>
        </w:numPr>
        <w:spacing w:after="120"/>
        <w:jc w:val="both"/>
      </w:pPr>
      <w:r>
        <w:t>TSO plānā norādīti uzdevumi, ko visiem NETO nepieciešams izpildīt, lai kopā izveidotu un īstenotu ND TSO funkciju. Uzdevumi ietver CSR kā ND TSO funkcijas sākumpunkta pieņemšanu (kā aprakstīts 5.1.1. punktā), tehniskos posmus (kā aprakstīts 5.1.3. punktā) un līguma posmus, lai īstenotu nepieciešamos līgumus un pārvaldības pasākumus ND TSO funkcijas darbībai (kā aprakstīts 5.1.2. punktā).</w:t>
      </w:r>
    </w:p>
    <w:p w14:paraId="65AB1991" w14:textId="77777777" w:rsidR="00EE418C" w:rsidRPr="00CB4A63" w:rsidRDefault="00EE418C" w:rsidP="00EE418C">
      <w:pPr>
        <w:pStyle w:val="Sarakstarindkopa"/>
        <w:spacing w:after="120"/>
        <w:ind w:left="360"/>
        <w:jc w:val="both"/>
      </w:pPr>
    </w:p>
    <w:p w14:paraId="7000AFA8" w14:textId="77777777" w:rsidR="0022068C" w:rsidRPr="00CB4A63" w:rsidRDefault="00EF40EA" w:rsidP="00174B30">
      <w:pPr>
        <w:pStyle w:val="Sarakstarindkopa"/>
        <w:numPr>
          <w:ilvl w:val="0"/>
          <w:numId w:val="94"/>
        </w:numPr>
        <w:spacing w:after="120"/>
        <w:jc w:val="both"/>
      </w:pPr>
      <w:r>
        <w:t>Saskaņā ar CACM regulu TSO plāns ietver detalizētu posmu aprakstu un ierosināto ND TSO funkcijas ieviešanas termiņu, kas nav ilgāks par 12 mēnešiem. Saskaņā ar CACM regulas 7. panta 5. punktu visu NETO komisijai jāziņo aģentūrai par tehnisko un līguma posmu izpildes progresu.</w:t>
      </w:r>
    </w:p>
    <w:p w14:paraId="655FB405" w14:textId="77777777" w:rsidR="00EE418C" w:rsidRPr="00CB4A63" w:rsidRDefault="00EE418C" w:rsidP="00EE418C">
      <w:pPr>
        <w:pStyle w:val="Sarakstarindkopa"/>
        <w:spacing w:after="120"/>
        <w:ind w:left="360"/>
        <w:jc w:val="both"/>
      </w:pPr>
    </w:p>
    <w:p w14:paraId="238A048D" w14:textId="77777777" w:rsidR="00EF40EA" w:rsidRPr="00CB4A63" w:rsidRDefault="00EF40EA" w:rsidP="00174B30">
      <w:pPr>
        <w:pStyle w:val="Sarakstarindkopa"/>
        <w:numPr>
          <w:ilvl w:val="0"/>
          <w:numId w:val="94"/>
        </w:numPr>
        <w:spacing w:after="120"/>
        <w:jc w:val="both"/>
      </w:pPr>
      <w:r>
        <w:t xml:space="preserve">TSO plāns ir uzskatāms par īstenotu, kad ir izpildīti šajā TSO plāna punktā norādītie tehniskie un līguma posmi un ND TSO funkcija ir pieejama lietošanai visiem NETO. </w:t>
      </w:r>
    </w:p>
    <w:p w14:paraId="00DD5BCF" w14:textId="77777777" w:rsidR="00DD211A" w:rsidRPr="00CB4A63" w:rsidRDefault="00DD211A" w:rsidP="00DD211A">
      <w:pPr>
        <w:pStyle w:val="Sarakstarindkopa"/>
        <w:spacing w:after="120"/>
        <w:ind w:left="360"/>
        <w:jc w:val="both"/>
      </w:pPr>
    </w:p>
    <w:p w14:paraId="4717CBB9" w14:textId="77777777" w:rsidR="00EF40EA" w:rsidRPr="00CB4A63" w:rsidRDefault="00EF40EA" w:rsidP="00174B30">
      <w:pPr>
        <w:pStyle w:val="Sarakstarindkopa"/>
        <w:numPr>
          <w:ilvl w:val="0"/>
          <w:numId w:val="94"/>
        </w:numPr>
        <w:spacing w:after="120"/>
        <w:jc w:val="both"/>
      </w:pPr>
      <w:r>
        <w:t>Lai NETO varētu izmantot DTSO funkciju, tiem papildus jāizpilda nepieciešamie tehniskie un līgumiskie priekšnosacījumi, kas izskaidroti 5.2.4. punktā.</w:t>
      </w:r>
    </w:p>
    <w:p w14:paraId="76EF4289" w14:textId="77777777" w:rsidR="00DD211A" w:rsidRPr="00CB4A63" w:rsidRDefault="00DD211A" w:rsidP="00DD211A">
      <w:pPr>
        <w:pStyle w:val="Sarakstarindkopa"/>
        <w:spacing w:after="120"/>
        <w:ind w:left="360"/>
        <w:jc w:val="both"/>
      </w:pPr>
    </w:p>
    <w:p w14:paraId="53D86E44" w14:textId="77777777" w:rsidR="00EF40EA" w:rsidRPr="00CB4A63" w:rsidRDefault="00EF40EA" w:rsidP="00174B30">
      <w:pPr>
        <w:pStyle w:val="Sarakstarindkopa"/>
        <w:numPr>
          <w:ilvl w:val="0"/>
          <w:numId w:val="94"/>
        </w:numPr>
        <w:spacing w:after="120"/>
        <w:jc w:val="both"/>
      </w:pPr>
      <w:r>
        <w:t>NETO plāno pabeigt ND TSO funkcijas ieviešanu, kā arī visu tehnisko un līguma posmu, kas NETO nepieciešami ND TSO funkcijas īstenošanai, izpildi līdz 2018. gada aprīlim, un tas jebkurā gadījumā neaizņems vairāk kā 12 mēnešus no TSO plāna apstiprināšanas dienas.</w:t>
      </w:r>
    </w:p>
    <w:p w14:paraId="310B0125" w14:textId="77777777" w:rsidR="00853F90" w:rsidRPr="00CB4A63" w:rsidRDefault="00853F90" w:rsidP="00853F90">
      <w:pPr>
        <w:pStyle w:val="Sarakstarindkopa"/>
        <w:spacing w:after="120"/>
        <w:ind w:left="360"/>
        <w:jc w:val="both"/>
      </w:pPr>
    </w:p>
    <w:p w14:paraId="0E37A523" w14:textId="77777777" w:rsidR="00EF40EA" w:rsidRPr="00CB4A63" w:rsidRDefault="00EF40EA" w:rsidP="00174B30">
      <w:pPr>
        <w:pStyle w:val="Sarakstarindkopa"/>
        <w:numPr>
          <w:ilvl w:val="0"/>
          <w:numId w:val="94"/>
        </w:numPr>
        <w:spacing w:after="120"/>
        <w:jc w:val="both"/>
      </w:pPr>
      <w:r>
        <w:t xml:space="preserve">TSO plāna joma neietver pirms un pēc sasaistes veicamās darbības, kas nepieciešamas, lai izmantotu ND TSO funkciju jaudas piešķiršanai solīšanas zonas robežā. </w:t>
      </w:r>
    </w:p>
    <w:p w14:paraId="07C6E824" w14:textId="77777777" w:rsidR="00EF40EA" w:rsidRPr="00CB4A63" w:rsidRDefault="00EF40EA" w:rsidP="00764D9D">
      <w:pPr>
        <w:pStyle w:val="Virsraksts3"/>
      </w:pPr>
      <w:bookmarkStart w:id="55" w:name="_Toc479786210"/>
      <w:bookmarkStart w:id="56" w:name="_Toc484770689"/>
      <w:r>
        <w:t>CSR risinājuma kā ND TSO funkcijas pieņemšana</w:t>
      </w:r>
      <w:bookmarkEnd w:id="55"/>
      <w:bookmarkEnd w:id="56"/>
    </w:p>
    <w:p w14:paraId="74C457EF" w14:textId="75D94C37" w:rsidR="00EF40EA" w:rsidRPr="00CB4A63" w:rsidRDefault="00467E11" w:rsidP="0076086F">
      <w:pPr>
        <w:pStyle w:val="Sarakstarindkopa"/>
        <w:numPr>
          <w:ilvl w:val="0"/>
          <w:numId w:val="98"/>
        </w:numPr>
        <w:spacing w:after="120"/>
        <w:jc w:val="both"/>
      </w:pPr>
      <w:r>
        <w:t>ND TSO funkcijas īstenošana saskaņā ar CACM regulas 36. panta 4. punktu jābalstās uz CSR risinājumu (IT līdzekļiem un atbilstošajām procedūrām), kas ir esošais diennakts sasaistei izmantotais risinājums un ir izstrādāts pirms CACM regulas stāšanās spēkā.</w:t>
      </w:r>
    </w:p>
    <w:p w14:paraId="2B6E6822" w14:textId="77777777" w:rsidR="0076086F" w:rsidRPr="00CB4A63" w:rsidRDefault="0076086F" w:rsidP="0076086F">
      <w:pPr>
        <w:pStyle w:val="Sarakstarindkopa"/>
        <w:spacing w:after="120"/>
        <w:ind w:left="360"/>
        <w:jc w:val="both"/>
      </w:pPr>
    </w:p>
    <w:p w14:paraId="459DA104" w14:textId="77777777" w:rsidR="00EF40EA" w:rsidRPr="00CB4A63" w:rsidRDefault="00A012A4" w:rsidP="00174B30">
      <w:pPr>
        <w:pStyle w:val="Sarakstarindkopa"/>
        <w:numPr>
          <w:ilvl w:val="0"/>
          <w:numId w:val="98"/>
        </w:numPr>
        <w:spacing w:after="120"/>
        <w:ind w:left="357"/>
        <w:jc w:val="both"/>
      </w:pPr>
      <w:r>
        <w:t xml:space="preserve">Lai ND TSO funkcija kļūtu funkcionāla dalībvalstī ir jāīsteno šādi darbību posmi: </w:t>
      </w:r>
    </w:p>
    <w:p w14:paraId="4B36E6ED" w14:textId="77777777" w:rsidR="00A012A4" w:rsidRPr="00CB4A63" w:rsidRDefault="00EF40EA" w:rsidP="00174B30">
      <w:pPr>
        <w:pStyle w:val="Sarakstarindkopa"/>
        <w:numPr>
          <w:ilvl w:val="1"/>
          <w:numId w:val="98"/>
        </w:numPr>
        <w:spacing w:after="120"/>
        <w:jc w:val="both"/>
      </w:pPr>
      <w:r>
        <w:t xml:space="preserve">līgumiskā gatavība (5.1.2. punkts); </w:t>
      </w:r>
    </w:p>
    <w:p w14:paraId="1445EF16" w14:textId="77777777" w:rsidR="00A012A4" w:rsidRPr="00CB4A63" w:rsidRDefault="00A012A4" w:rsidP="00174B30">
      <w:pPr>
        <w:pStyle w:val="Sarakstarindkopa"/>
        <w:numPr>
          <w:ilvl w:val="1"/>
          <w:numId w:val="98"/>
        </w:numPr>
        <w:spacing w:after="120"/>
        <w:jc w:val="both"/>
      </w:pPr>
      <w:r>
        <w:t xml:space="preserve">tehniskā gatavība (5.1.3. punkts); </w:t>
      </w:r>
    </w:p>
    <w:p w14:paraId="59F1E26D" w14:textId="77777777" w:rsidR="00CF7878" w:rsidRPr="00CB4A63" w:rsidRDefault="00A012A4" w:rsidP="00174B30">
      <w:pPr>
        <w:pStyle w:val="Sarakstarindkopa"/>
        <w:numPr>
          <w:ilvl w:val="1"/>
          <w:numId w:val="98"/>
        </w:numPr>
        <w:spacing w:after="120"/>
        <w:jc w:val="both"/>
      </w:pPr>
      <w:r>
        <w:t xml:space="preserve">vietējās ieviešanas gatavība (5.1.4. punkts). </w:t>
      </w:r>
    </w:p>
    <w:p w14:paraId="2F885BB8" w14:textId="77777777" w:rsidR="007423CD" w:rsidRPr="00CB4A63" w:rsidRDefault="007423CD" w:rsidP="00983FB7">
      <w:pPr>
        <w:pStyle w:val="Sarakstarindkopa"/>
        <w:spacing w:after="120"/>
        <w:ind w:left="1080"/>
        <w:jc w:val="both"/>
      </w:pPr>
    </w:p>
    <w:p w14:paraId="1D337FCE" w14:textId="77777777" w:rsidR="00633996" w:rsidRPr="00CB4A63" w:rsidRDefault="00633996" w:rsidP="00764D9D">
      <w:pPr>
        <w:pStyle w:val="Virsraksts3"/>
      </w:pPr>
      <w:bookmarkStart w:id="57" w:name="_Toc479786211"/>
      <w:bookmarkStart w:id="58" w:name="_Toc484770690"/>
      <w:r>
        <w:t>Ar ND TSO funkcijas ieviešanu saistītie līguma posmi</w:t>
      </w:r>
      <w:bookmarkEnd w:id="57"/>
      <w:bookmarkEnd w:id="58"/>
    </w:p>
    <w:p w14:paraId="5BBAD322" w14:textId="77777777" w:rsidR="00633996" w:rsidRPr="00CB4A63" w:rsidRDefault="00467E11" w:rsidP="00174B30">
      <w:pPr>
        <w:pStyle w:val="Sarakstarindkopa"/>
        <w:numPr>
          <w:ilvl w:val="0"/>
          <w:numId w:val="96"/>
        </w:numPr>
        <w:spacing w:after="120"/>
        <w:jc w:val="both"/>
      </w:pPr>
      <w:r>
        <w:t>NETO sadarbībai, lai īstenotu ND TSO funkciju, jābalstās uz šādu līgumisko satvaru:</w:t>
      </w:r>
    </w:p>
    <w:p w14:paraId="29429C44" w14:textId="77777777" w:rsidR="00633996" w:rsidRPr="00CB4A63" w:rsidRDefault="00633996" w:rsidP="00174B30">
      <w:pPr>
        <w:pStyle w:val="Sarakstarindkopa"/>
        <w:numPr>
          <w:ilvl w:val="1"/>
          <w:numId w:val="96"/>
        </w:numPr>
        <w:jc w:val="both"/>
      </w:pPr>
      <w:r>
        <w:t>visu NETO sadarbības līgums (VNSL);</w:t>
      </w:r>
    </w:p>
    <w:p w14:paraId="7B71992B" w14:textId="77777777" w:rsidR="00015228" w:rsidRPr="00CB4A63" w:rsidRDefault="00633996" w:rsidP="00174B30">
      <w:pPr>
        <w:pStyle w:val="Sarakstarindkopa"/>
        <w:numPr>
          <w:ilvl w:val="1"/>
          <w:numId w:val="96"/>
        </w:numPr>
        <w:jc w:val="both"/>
      </w:pPr>
      <w:r>
        <w:t xml:space="preserve">NETO ND darbības līgums, kas regulēs sadarbību NETO starpā un attiecības ar ND TSO funkcijas pakalpojumu nodrošinātāju, kā ND TSO funkcijas līdzekļu līdzīpašniekiem. </w:t>
      </w:r>
    </w:p>
    <w:p w14:paraId="500DF6DD" w14:textId="77777777" w:rsidR="00015228" w:rsidRPr="00CB4A63" w:rsidRDefault="00015228" w:rsidP="00A16B96">
      <w:pPr>
        <w:pStyle w:val="Sarakstarindkopa"/>
        <w:ind w:left="1080"/>
        <w:jc w:val="both"/>
      </w:pPr>
    </w:p>
    <w:p w14:paraId="42C45A05" w14:textId="77777777" w:rsidR="00633996" w:rsidRPr="00CB4A63" w:rsidRDefault="00633996" w:rsidP="00174B30">
      <w:pPr>
        <w:pStyle w:val="Sarakstarindkopa"/>
        <w:numPr>
          <w:ilvl w:val="0"/>
          <w:numId w:val="96"/>
        </w:numPr>
        <w:spacing w:after="120"/>
        <w:jc w:val="both"/>
      </w:pPr>
      <w:r>
        <w:t>Kad VNSL būs stājies spēkā, tas noteiks vispārējo pārvaldības sistēmu.  Saskaņā ar VNSL NETO ND darbības līguma parakstītāju lēmumi par NDS īstenošanu tiks pieņemti vienprātīgi, bet gadījumos, kad nebūs iespējams panākt vienprātību, tie tiks pāradresēti visu NETO komitejai.</w:t>
      </w:r>
    </w:p>
    <w:p w14:paraId="01BE5493" w14:textId="77777777" w:rsidR="009F4D9F" w:rsidRPr="00CB4A63" w:rsidRDefault="009F4D9F" w:rsidP="009F4D9F">
      <w:pPr>
        <w:pStyle w:val="Sarakstarindkopa"/>
        <w:spacing w:after="120"/>
        <w:ind w:left="360"/>
        <w:jc w:val="both"/>
      </w:pPr>
    </w:p>
    <w:p w14:paraId="7DBF4E4F" w14:textId="77777777" w:rsidR="00007354" w:rsidRPr="00CB4A63" w:rsidRDefault="00B7430F" w:rsidP="00174B30">
      <w:pPr>
        <w:pStyle w:val="Sarakstarindkopa"/>
        <w:numPr>
          <w:ilvl w:val="0"/>
          <w:numId w:val="96"/>
        </w:numPr>
        <w:jc w:val="both"/>
      </w:pPr>
      <w:r>
        <w:t xml:space="preserve">NETO plāno, ka visi NDS īstenošanai izvirzītie NETO pievienosies VNSL līdz 2017. gada novembrim.  </w:t>
      </w:r>
    </w:p>
    <w:p w14:paraId="2F2C34C6" w14:textId="77777777" w:rsidR="00007354" w:rsidRPr="00CB4A63" w:rsidRDefault="00007354" w:rsidP="00007354">
      <w:pPr>
        <w:pStyle w:val="Sarakstarindkopa"/>
        <w:ind w:left="360"/>
        <w:jc w:val="both"/>
        <w:rPr>
          <w:rFonts w:cs="Arial"/>
        </w:rPr>
      </w:pPr>
    </w:p>
    <w:p w14:paraId="4DF15517" w14:textId="77777777" w:rsidR="00633996" w:rsidRPr="00CB4A63" w:rsidRDefault="007A74A5" w:rsidP="00174B30">
      <w:pPr>
        <w:pStyle w:val="Sarakstarindkopa"/>
        <w:numPr>
          <w:ilvl w:val="0"/>
          <w:numId w:val="96"/>
        </w:numPr>
        <w:jc w:val="both"/>
        <w:rPr>
          <w:rFonts w:cs="Arial"/>
        </w:rPr>
      </w:pPr>
      <w:r>
        <w:t>Lai varētu piedalīties NDS, visiem NDS īstenošanai izvirzītajiem NETO ir jāpievienojas NETO ND darbības līgumam. NETO ND darbības līgumam jānosaka NETO sadarbība ND TSO funkcijas, kas norādīta CACM regulas 7. Pantā, izpildē. Šis līgums regulēs NETO sadarbību attiecībā uz:</w:t>
      </w:r>
    </w:p>
    <w:p w14:paraId="3E5A1FEF" w14:textId="77777777" w:rsidR="00633996" w:rsidRPr="00CB4A63" w:rsidRDefault="00633996" w:rsidP="00384080">
      <w:pPr>
        <w:pStyle w:val="Sarakstarindkopa"/>
        <w:numPr>
          <w:ilvl w:val="0"/>
          <w:numId w:val="25"/>
        </w:numPr>
        <w:tabs>
          <w:tab w:val="left" w:pos="426"/>
        </w:tabs>
        <w:jc w:val="both"/>
        <w:rPr>
          <w:rFonts w:eastAsia="Times New Roman"/>
        </w:rPr>
      </w:pPr>
      <w:r>
        <w:t>ikdienas ND sasaistes darbību pārvaldību;</w:t>
      </w:r>
    </w:p>
    <w:p w14:paraId="2287DFBB" w14:textId="77777777" w:rsidR="00633996" w:rsidRPr="00CB4A63" w:rsidRDefault="00633996" w:rsidP="00384080">
      <w:pPr>
        <w:pStyle w:val="Sarakstarindkopa"/>
        <w:numPr>
          <w:ilvl w:val="0"/>
          <w:numId w:val="25"/>
        </w:numPr>
        <w:tabs>
          <w:tab w:val="left" w:pos="426"/>
        </w:tabs>
        <w:jc w:val="both"/>
        <w:rPr>
          <w:rFonts w:eastAsia="Times New Roman"/>
        </w:rPr>
      </w:pPr>
      <w:r>
        <w:t>dažādām NETO (funkcionējošo NETO un apkalpoto NETO) darbības iespējām un tehniskajām prasībām, kas jāievēro, lai kļūtu par operatoru un garantētu drošu un uzticamu darbību;</w:t>
      </w:r>
    </w:p>
    <w:p w14:paraId="519EBC7C" w14:textId="77777777" w:rsidR="00633996" w:rsidRPr="00CB4A63" w:rsidRDefault="00633996" w:rsidP="00384080">
      <w:pPr>
        <w:pStyle w:val="Sarakstarindkopa"/>
        <w:numPr>
          <w:ilvl w:val="0"/>
          <w:numId w:val="25"/>
        </w:numPr>
        <w:tabs>
          <w:tab w:val="left" w:pos="426"/>
        </w:tabs>
        <w:jc w:val="both"/>
        <w:rPr>
          <w:rFonts w:eastAsia="Times New Roman"/>
        </w:rPr>
      </w:pPr>
      <w:r>
        <w:t>TS darbību atbildības un rezultātu pieņemšanas līgumsaistību pārvaldību;</w:t>
      </w:r>
    </w:p>
    <w:p w14:paraId="51B1B9B0" w14:textId="77777777" w:rsidR="00633996" w:rsidRPr="00CB4A63" w:rsidRDefault="00633996" w:rsidP="00384080">
      <w:pPr>
        <w:pStyle w:val="Sarakstarindkopa"/>
        <w:numPr>
          <w:ilvl w:val="0"/>
          <w:numId w:val="25"/>
        </w:numPr>
        <w:tabs>
          <w:tab w:val="left" w:pos="426"/>
        </w:tabs>
        <w:jc w:val="both"/>
        <w:rPr>
          <w:rFonts w:eastAsia="Times New Roman"/>
        </w:rPr>
      </w:pPr>
      <w:r>
        <w:t>noteikumiem dalībai struktūrās, kas izveidotas saskaņā ar līgumu, tostarp attiecībā uz NETO, kad vēl nav funkcionējoši;</w:t>
      </w:r>
    </w:p>
    <w:p w14:paraId="2A2D6A35" w14:textId="77777777" w:rsidR="00633996" w:rsidRPr="00CB4A63" w:rsidRDefault="00633996" w:rsidP="00384080">
      <w:pPr>
        <w:pStyle w:val="Sarakstarindkopa"/>
        <w:numPr>
          <w:ilvl w:val="0"/>
          <w:numId w:val="25"/>
        </w:numPr>
        <w:tabs>
          <w:tab w:val="left" w:pos="426"/>
        </w:tabs>
        <w:jc w:val="both"/>
        <w:rPr>
          <w:rFonts w:eastAsia="Times New Roman"/>
        </w:rPr>
      </w:pPr>
      <w:r>
        <w:t>izmaksu ziņošanas pārvaldību;</w:t>
      </w:r>
    </w:p>
    <w:p w14:paraId="2B5041DB" w14:textId="77777777" w:rsidR="0076340C" w:rsidRPr="00CB4A63" w:rsidRDefault="00633996" w:rsidP="00384080">
      <w:pPr>
        <w:pStyle w:val="Sarakstarindkopa"/>
        <w:numPr>
          <w:ilvl w:val="0"/>
          <w:numId w:val="25"/>
        </w:numPr>
        <w:tabs>
          <w:tab w:val="left" w:pos="426"/>
        </w:tabs>
        <w:jc w:val="both"/>
        <w:rPr>
          <w:rFonts w:eastAsia="Times New Roman"/>
        </w:rPr>
      </w:pPr>
      <w:r>
        <w:t>noteikumiem ND TSO funkcijas pakalpojumu nodrošinātāju atlasei.</w:t>
      </w:r>
    </w:p>
    <w:p w14:paraId="40FB36CA" w14:textId="77777777" w:rsidR="00633996" w:rsidRPr="00CB4A63" w:rsidRDefault="00633996" w:rsidP="00633996">
      <w:pPr>
        <w:pStyle w:val="Sarakstarindkopa"/>
        <w:tabs>
          <w:tab w:val="left" w:pos="426"/>
        </w:tabs>
        <w:ind w:left="786"/>
        <w:jc w:val="both"/>
        <w:rPr>
          <w:rFonts w:eastAsia="Times New Roman"/>
        </w:rPr>
      </w:pPr>
    </w:p>
    <w:p w14:paraId="0071C11F" w14:textId="77777777" w:rsidR="00633996" w:rsidRPr="00CB4A63" w:rsidRDefault="00633996" w:rsidP="00174B30">
      <w:pPr>
        <w:pStyle w:val="Sarakstarindkopa"/>
        <w:numPr>
          <w:ilvl w:val="0"/>
          <w:numId w:val="96"/>
        </w:numPr>
        <w:spacing w:after="120"/>
        <w:jc w:val="both"/>
      </w:pPr>
      <w:r>
        <w:t xml:space="preserve">NETO plāno, ka visi NDS īstenošanai izraudzītie NETO noslēgs NETO ND darbības līgumu līdz 2018. gada februārim un jebkurā gadījumā ne vēlāk kā 12 mēnešu TSO plāna īstenošanas periodā, lai līgums stātos spēkā darbības uzsākšanas dienā. </w:t>
      </w:r>
    </w:p>
    <w:p w14:paraId="270A7EA8" w14:textId="77777777" w:rsidR="00E23ED3" w:rsidRPr="00CB4A63" w:rsidRDefault="00E23ED3" w:rsidP="00E23ED3">
      <w:pPr>
        <w:pStyle w:val="Sarakstarindkopa"/>
      </w:pPr>
    </w:p>
    <w:p w14:paraId="58A9B5F1" w14:textId="77777777" w:rsidR="00633996" w:rsidRPr="00CB4A63" w:rsidRDefault="00633996" w:rsidP="00764D9D">
      <w:pPr>
        <w:pStyle w:val="Virsraksts3"/>
      </w:pPr>
      <w:bookmarkStart w:id="59" w:name="_Toc479786212"/>
      <w:bookmarkStart w:id="60" w:name="_Toc484770691"/>
      <w:r>
        <w:t>Ar ND TSO funkcijas ieviešanu saistītie tehniskie posmi</w:t>
      </w:r>
      <w:bookmarkEnd w:id="59"/>
      <w:bookmarkEnd w:id="60"/>
    </w:p>
    <w:p w14:paraId="01B5CBC3" w14:textId="77777777" w:rsidR="00B35B20" w:rsidRPr="00CB4A63" w:rsidRDefault="00B35B20" w:rsidP="00174B30">
      <w:pPr>
        <w:pStyle w:val="Sarakstarindkopa"/>
        <w:numPr>
          <w:ilvl w:val="0"/>
          <w:numId w:val="95"/>
        </w:numPr>
        <w:spacing w:after="120"/>
        <w:contextualSpacing w:val="0"/>
        <w:jc w:val="both"/>
      </w:pPr>
      <w:r>
        <w:t>Lai izvēlētā ND TSO funkcija atbilstu CACM regulas prasībām (piemēram, no jauniem produktiem izrietošajām vai algoritma prasībām), nepieciešams veikt tālāk norādītos tehniskos un darbības uzlabojumus.</w:t>
      </w:r>
    </w:p>
    <w:p w14:paraId="3656B488" w14:textId="77777777" w:rsidR="00B35B20" w:rsidRPr="00CB4A63" w:rsidRDefault="00B35B20" w:rsidP="00174B30">
      <w:pPr>
        <w:pStyle w:val="Sarakstarindkopa"/>
        <w:numPr>
          <w:ilvl w:val="0"/>
          <w:numId w:val="95"/>
        </w:numPr>
        <w:spacing w:after="120"/>
        <w:contextualSpacing w:val="0"/>
        <w:jc w:val="both"/>
      </w:pPr>
      <w:r>
        <w:t>Optimalitātes intervāla rādītājs(-i)</w:t>
      </w:r>
    </w:p>
    <w:p w14:paraId="3758A432" w14:textId="77777777" w:rsidR="00B35B20" w:rsidRPr="00CB4A63" w:rsidRDefault="00B35B20" w:rsidP="00174B30">
      <w:pPr>
        <w:pStyle w:val="Sarakstarindkopa"/>
        <w:numPr>
          <w:ilvl w:val="0"/>
          <w:numId w:val="120"/>
        </w:numPr>
        <w:tabs>
          <w:tab w:val="left" w:pos="426"/>
        </w:tabs>
        <w:jc w:val="both"/>
        <w:rPr>
          <w:rFonts w:eastAsia="Times New Roman"/>
        </w:rPr>
      </w:pPr>
      <w:r>
        <w:t>Lai novērtētu NDS algoritma atrasto risinājumu kvalitāti, tiks aprēķināts(-i) iespējamā attāluma līdz optimalitātei rādītājs(-i).</w:t>
      </w:r>
    </w:p>
    <w:p w14:paraId="5E9FD406" w14:textId="77777777" w:rsidR="00B35B20" w:rsidRPr="00CB4A63" w:rsidRDefault="00B35B20" w:rsidP="00174B30">
      <w:pPr>
        <w:pStyle w:val="Sarakstarindkopa"/>
        <w:numPr>
          <w:ilvl w:val="0"/>
          <w:numId w:val="120"/>
        </w:numPr>
        <w:tabs>
          <w:tab w:val="left" w:pos="426"/>
        </w:tabs>
        <w:jc w:val="both"/>
        <w:rPr>
          <w:rFonts w:eastAsia="Times New Roman"/>
        </w:rPr>
      </w:pPr>
      <w:r>
        <w:t>ND TSO funkcijas atjauninājumu ieviešanas termiņš ir sadalīts posmos:</w:t>
      </w:r>
    </w:p>
    <w:p w14:paraId="3495DD6C" w14:textId="77777777" w:rsidR="00B35B20" w:rsidRPr="00CB4A63" w:rsidRDefault="00B35B20" w:rsidP="00174B30">
      <w:pPr>
        <w:pStyle w:val="Sarakstarindkopa"/>
        <w:numPr>
          <w:ilvl w:val="2"/>
          <w:numId w:val="118"/>
        </w:numPr>
        <w:spacing w:after="120"/>
        <w:jc w:val="both"/>
      </w:pPr>
      <w:r>
        <w:t xml:space="preserve">ND TSO funkcijas izmaiņu izstrādes posms; </w:t>
      </w:r>
    </w:p>
    <w:p w14:paraId="745C39A5" w14:textId="77777777" w:rsidR="00B35B20" w:rsidRPr="00CB4A63" w:rsidRDefault="00B35B20" w:rsidP="00174B30">
      <w:pPr>
        <w:pStyle w:val="Sarakstarindkopa"/>
        <w:numPr>
          <w:ilvl w:val="2"/>
          <w:numId w:val="118"/>
        </w:numPr>
        <w:spacing w:after="120"/>
        <w:jc w:val="both"/>
      </w:pPr>
      <w:r>
        <w:t>ND TSO funkcijas sistēmu testēšanas posms;</w:t>
      </w:r>
    </w:p>
    <w:p w14:paraId="111C5EBD" w14:textId="77777777" w:rsidR="00B35B20" w:rsidRPr="00CB4A63" w:rsidRDefault="00B35B20" w:rsidP="00174B30">
      <w:pPr>
        <w:pStyle w:val="Sarakstarindkopa"/>
        <w:numPr>
          <w:ilvl w:val="2"/>
          <w:numId w:val="118"/>
        </w:numPr>
        <w:spacing w:after="120"/>
        <w:jc w:val="both"/>
      </w:pPr>
      <w:r>
        <w:t xml:space="preserve">publicēšanas shēmas sagatavošanas posms, kas tiks īstenots paralēli testēšanas posmam; </w:t>
      </w:r>
    </w:p>
    <w:p w14:paraId="086B2C70" w14:textId="77777777" w:rsidR="00B35B20" w:rsidRPr="00CB4A63" w:rsidRDefault="00B35B20" w:rsidP="00174B30">
      <w:pPr>
        <w:pStyle w:val="Sarakstarindkopa"/>
        <w:numPr>
          <w:ilvl w:val="2"/>
          <w:numId w:val="118"/>
        </w:numPr>
        <w:spacing w:after="120"/>
        <w:jc w:val="both"/>
      </w:pPr>
      <w:r>
        <w:t>Plānots, ka intervāla rādītāji būs pieejami no 2018. gada februāra.</w:t>
      </w:r>
    </w:p>
    <w:p w14:paraId="12948BDF" w14:textId="77777777" w:rsidR="00B35B20" w:rsidRPr="00CB4A63" w:rsidRDefault="00B35B20" w:rsidP="00174B30">
      <w:pPr>
        <w:pStyle w:val="Sarakstarindkopa"/>
        <w:numPr>
          <w:ilvl w:val="0"/>
          <w:numId w:val="95"/>
        </w:numPr>
        <w:spacing w:after="120"/>
        <w:contextualSpacing w:val="0"/>
        <w:jc w:val="both"/>
      </w:pPr>
      <w:r>
        <w:t xml:space="preserve">Atkārtojamība </w:t>
      </w:r>
    </w:p>
    <w:p w14:paraId="67C6B2EA" w14:textId="77777777" w:rsidR="00B35B20" w:rsidRPr="00CB4A63" w:rsidRDefault="00B35B20" w:rsidP="00174B30">
      <w:pPr>
        <w:pStyle w:val="Sarakstarindkopa"/>
        <w:numPr>
          <w:ilvl w:val="0"/>
          <w:numId w:val="121"/>
        </w:numPr>
        <w:tabs>
          <w:tab w:val="left" w:pos="426"/>
        </w:tabs>
        <w:jc w:val="both"/>
        <w:rPr>
          <w:rFonts w:eastAsia="Times New Roman"/>
        </w:rPr>
      </w:pPr>
      <w:r>
        <w:t>Jābūt iespējai veikt cenu sasaistes algoritma rezultātu pārbaudes. Cenu sasaistes algoritma rezultātiem un ievades datiem (pasūtījumu datiem un tīkla ierobežojumiem) jābūt pieejamiem. Algoritms tiks arī aprīkots ar divām jaunām funkcijām:</w:t>
      </w:r>
    </w:p>
    <w:p w14:paraId="4CCAB118" w14:textId="77777777" w:rsidR="00B35B20" w:rsidRPr="00CB4A63" w:rsidRDefault="00B35B20" w:rsidP="00174B30">
      <w:pPr>
        <w:pStyle w:val="Sarakstarindkopa"/>
        <w:numPr>
          <w:ilvl w:val="2"/>
          <w:numId w:val="95"/>
        </w:numPr>
        <w:spacing w:after="120"/>
        <w:ind w:left="2160"/>
        <w:jc w:val="both"/>
      </w:pPr>
      <w:bookmarkStart w:id="61" w:name="_Ref467841261"/>
      <w:r>
        <w:t>aprēķinu procesa laikā tiks reģistrēta informācija, kas nepieciešama izrietošā risinājuma atkārtošanai;</w:t>
      </w:r>
      <w:bookmarkEnd w:id="61"/>
    </w:p>
    <w:p w14:paraId="16F8C9C0" w14:textId="63E2F32B" w:rsidR="00B35B20" w:rsidRPr="00CB4A63" w:rsidRDefault="00B35B20" w:rsidP="00174B30">
      <w:pPr>
        <w:pStyle w:val="Sarakstarindkopa"/>
        <w:numPr>
          <w:ilvl w:val="2"/>
          <w:numId w:val="95"/>
        </w:numPr>
        <w:spacing w:after="120"/>
        <w:ind w:left="2160"/>
        <w:jc w:val="both"/>
      </w:pPr>
      <w:r>
        <w:t>cenu sasaistes algoritms atbalstīs speciālu režīmu, kas ļauj atkārtot iepriekšējos rezultātus, izmantojot to pašu cenu sasaistes algoritma versiju tajā pašā iekārtā, ņemot vērā iepriekšējos ievades datus un iepriekšējā punktā (</w:t>
      </w:r>
      <w:r w:rsidRPr="00CB4A63">
        <w:fldChar w:fldCharType="begin"/>
      </w:r>
      <w:r w:rsidRPr="00CB4A63">
        <w:instrText xml:space="preserve"> REF _Ref467841261 \n \h </w:instrText>
      </w:r>
      <w:r w:rsidR="00CB4A63">
        <w:instrText xml:space="preserve"> \* MERGEFORMAT </w:instrText>
      </w:r>
      <w:r w:rsidRPr="00CB4A63">
        <w:fldChar w:fldCharType="separate"/>
      </w:r>
      <w:r w:rsidR="000A4F05" w:rsidRPr="00CB4A63">
        <w:t>i</w:t>
      </w:r>
      <w:r w:rsidRPr="00CB4A63">
        <w:fldChar w:fldCharType="end"/>
      </w:r>
      <w:r>
        <w:t>) minēto reģistrēto informāciju.</w:t>
      </w:r>
    </w:p>
    <w:p w14:paraId="61609108" w14:textId="77777777" w:rsidR="00B35B20" w:rsidRPr="00CB4A63" w:rsidRDefault="00B35B20" w:rsidP="00174B30">
      <w:pPr>
        <w:pStyle w:val="Sarakstarindkopa"/>
        <w:numPr>
          <w:ilvl w:val="0"/>
          <w:numId w:val="121"/>
        </w:numPr>
        <w:tabs>
          <w:tab w:val="left" w:pos="426"/>
        </w:tabs>
        <w:jc w:val="both"/>
        <w:rPr>
          <w:rFonts w:eastAsia="Times New Roman"/>
        </w:rPr>
      </w:pPr>
      <w:r>
        <w:t>ND TSO funkcijas atjauninājumu ieviešanas termiņš tiks sadalīts posmos:</w:t>
      </w:r>
    </w:p>
    <w:p w14:paraId="50A8C848" w14:textId="77777777" w:rsidR="00B35B20" w:rsidRPr="00CB4A63" w:rsidRDefault="00B35B20" w:rsidP="00174B30">
      <w:pPr>
        <w:pStyle w:val="Sarakstarindkopa"/>
        <w:numPr>
          <w:ilvl w:val="0"/>
          <w:numId w:val="123"/>
        </w:numPr>
        <w:spacing w:after="120"/>
        <w:jc w:val="both"/>
      </w:pPr>
      <w:r>
        <w:t xml:space="preserve">ND TSO funkcijas izmaiņu izstrādes posms; </w:t>
      </w:r>
    </w:p>
    <w:p w14:paraId="76184CF7" w14:textId="77777777" w:rsidR="00B35B20" w:rsidRPr="00CB4A63" w:rsidRDefault="00B35B20" w:rsidP="00174B30">
      <w:pPr>
        <w:pStyle w:val="Sarakstarindkopa"/>
        <w:numPr>
          <w:ilvl w:val="0"/>
          <w:numId w:val="123"/>
        </w:numPr>
        <w:spacing w:after="120"/>
        <w:jc w:val="both"/>
      </w:pPr>
      <w:r>
        <w:lastRenderedPageBreak/>
        <w:t xml:space="preserve">ND TSO funkcijas sistēmu testēšanas posms, tostarp potenciālās ietekmes uz cenu sasaistes algoritma darbību un aprēķināto rezultātu kvalitātes testēšana; </w:t>
      </w:r>
    </w:p>
    <w:p w14:paraId="1D4DA5A1" w14:textId="77777777" w:rsidR="00B35B20" w:rsidRPr="00CB4A63" w:rsidRDefault="00B35B20" w:rsidP="00174B30">
      <w:pPr>
        <w:pStyle w:val="Sarakstarindkopa"/>
        <w:numPr>
          <w:ilvl w:val="0"/>
          <w:numId w:val="123"/>
        </w:numPr>
        <w:spacing w:after="120"/>
        <w:jc w:val="both"/>
      </w:pPr>
      <w:r>
        <w:t>pārbaudes funkcija būs pieejama izmantošanai atkarībā no veiksmīgas testēšanas posma pabeigšanas (plānotais termiņš – 2018. gada februāris).</w:t>
      </w:r>
    </w:p>
    <w:p w14:paraId="46D7DBBE" w14:textId="77777777" w:rsidR="00B35B20" w:rsidRPr="00CB4A63" w:rsidRDefault="00B35B20" w:rsidP="00174B30">
      <w:pPr>
        <w:pStyle w:val="Sarakstarindkopa"/>
        <w:numPr>
          <w:ilvl w:val="0"/>
          <w:numId w:val="95"/>
        </w:numPr>
        <w:spacing w:after="120"/>
        <w:contextualSpacing w:val="0"/>
        <w:jc w:val="both"/>
      </w:pPr>
      <w:r>
        <w:t>Vairāku NETO līguma prasības:</w:t>
      </w:r>
    </w:p>
    <w:p w14:paraId="6215E216" w14:textId="77777777" w:rsidR="00B35B20" w:rsidRPr="00CB4A63" w:rsidRDefault="00B35B20" w:rsidP="00174B30">
      <w:pPr>
        <w:pStyle w:val="Sarakstarindkopa"/>
        <w:numPr>
          <w:ilvl w:val="0"/>
          <w:numId w:val="122"/>
        </w:numPr>
        <w:tabs>
          <w:tab w:val="left" w:pos="426"/>
        </w:tabs>
        <w:jc w:val="both"/>
        <w:rPr>
          <w:rFonts w:eastAsia="Times New Roman"/>
        </w:rPr>
      </w:pPr>
      <w:r>
        <w:t>lai veiktu konfigurācijas, solīšanas zonā esot vairākiem NETO, ND TSO funkcija jāatjaunina, lai aprēķinātu NETO centrmezglu NETO centrmezgla plūsmām gan solīšanas zonā, gan starp blakus esošu solīšanas zonu NETO centrmezgliem (turpmāk – „vairāku NETO funkcijas”), lai atbalstītu plānotās apmaiņas aprēķināšanas un/vai vairāku NETO pasākumu funkciju, nepieciešamības gadījumā tiek paredzēts, ka tiks ietverti šādi posmi:</w:t>
      </w:r>
    </w:p>
    <w:p w14:paraId="7C8F4C91" w14:textId="77777777" w:rsidR="00B35B20" w:rsidRPr="00CB4A63" w:rsidRDefault="00B35B20" w:rsidP="00174B30">
      <w:pPr>
        <w:pStyle w:val="Sarakstarindkopa"/>
        <w:numPr>
          <w:ilvl w:val="0"/>
          <w:numId w:val="124"/>
        </w:numPr>
        <w:spacing w:after="120"/>
        <w:jc w:val="both"/>
      </w:pPr>
      <w:r>
        <w:t xml:space="preserve">ievades datu apkopošana NETO līmenī, nevis pašlaik atbalstītajā solīšanas zonas līmenī; </w:t>
      </w:r>
    </w:p>
    <w:p w14:paraId="20794A11" w14:textId="77777777" w:rsidR="00B35B20" w:rsidRPr="00CB4A63" w:rsidRDefault="00B35B20" w:rsidP="00174B30">
      <w:pPr>
        <w:pStyle w:val="Sarakstarindkopa"/>
        <w:numPr>
          <w:ilvl w:val="0"/>
          <w:numId w:val="124"/>
        </w:numPr>
        <w:spacing w:after="120"/>
        <w:jc w:val="both"/>
      </w:pPr>
      <w:r>
        <w:t xml:space="preserve">NETO ievades datu grupēšana solīšanas zonas līmenī; </w:t>
      </w:r>
    </w:p>
    <w:p w14:paraId="681B3D86" w14:textId="77777777" w:rsidR="00B35B20" w:rsidRPr="00CB4A63" w:rsidRDefault="00B35B20" w:rsidP="00174B30">
      <w:pPr>
        <w:pStyle w:val="Sarakstarindkopa"/>
        <w:numPr>
          <w:ilvl w:val="0"/>
          <w:numId w:val="124"/>
        </w:numPr>
        <w:spacing w:after="120"/>
        <w:jc w:val="both"/>
      </w:pPr>
      <w:r>
        <w:t xml:space="preserve">izrietošo izvades datu sadalīšana, lai izgūtu atsevišķa NETO rezultātus solīšanas zonā; </w:t>
      </w:r>
    </w:p>
    <w:p w14:paraId="7814253A" w14:textId="77777777" w:rsidR="00B35B20" w:rsidRPr="00CB4A63" w:rsidRDefault="00B35B20" w:rsidP="00174B30">
      <w:pPr>
        <w:pStyle w:val="Sarakstarindkopa"/>
        <w:numPr>
          <w:ilvl w:val="0"/>
          <w:numId w:val="124"/>
        </w:numPr>
        <w:spacing w:after="120"/>
        <w:jc w:val="both"/>
      </w:pPr>
      <w:r>
        <w:t xml:space="preserve">solīšanas zonas cenas un neto pozīcijas kā ND TSO funkcijas izvades datu izteikšana; </w:t>
      </w:r>
    </w:p>
    <w:p w14:paraId="37E52353" w14:textId="77777777" w:rsidR="00B35B20" w:rsidRPr="00CB4A63" w:rsidRDefault="00B35B20" w:rsidP="00174B30">
      <w:pPr>
        <w:pStyle w:val="Sarakstarindkopa"/>
        <w:numPr>
          <w:ilvl w:val="0"/>
          <w:numId w:val="124"/>
        </w:numPr>
        <w:spacing w:after="120"/>
        <w:jc w:val="both"/>
      </w:pPr>
      <w:r>
        <w:t>solīšanas zonas kopējo rezultātu kā solīšanas zonas plūsmas (lai nepieciešamības gadījumā atbalstītu plānotās apmaiņas aprēķināšanas funkciju) aprēķināšana.</w:t>
      </w:r>
    </w:p>
    <w:p w14:paraId="6C88E75D" w14:textId="77777777" w:rsidR="00B35B20" w:rsidRPr="00CB4A63" w:rsidRDefault="00B35B20" w:rsidP="00A215CB">
      <w:pPr>
        <w:pStyle w:val="Sarakstarindkopa"/>
        <w:numPr>
          <w:ilvl w:val="0"/>
          <w:numId w:val="122"/>
        </w:numPr>
        <w:tabs>
          <w:tab w:val="left" w:pos="426"/>
        </w:tabs>
        <w:spacing w:after="120"/>
        <w:jc w:val="both"/>
        <w:rPr>
          <w:rFonts w:eastAsia="Times New Roman"/>
        </w:rPr>
      </w:pPr>
      <w:r>
        <w:t>ND TSO funkcijas atjauninājumu ieviešanas termiņš tiks sadalīts posmos:</w:t>
      </w:r>
    </w:p>
    <w:p w14:paraId="5B20CE2C" w14:textId="77777777" w:rsidR="00B35B20" w:rsidRPr="00CB4A63" w:rsidRDefault="00B35B20" w:rsidP="00174B30">
      <w:pPr>
        <w:pStyle w:val="Sarakstarindkopa"/>
        <w:numPr>
          <w:ilvl w:val="0"/>
          <w:numId w:val="125"/>
        </w:numPr>
        <w:spacing w:after="120"/>
        <w:jc w:val="both"/>
      </w:pPr>
      <w:r>
        <w:t xml:space="preserve">ND TSO funkcijas izmaiņu izstrādes posms; </w:t>
      </w:r>
    </w:p>
    <w:p w14:paraId="149263B3" w14:textId="77777777" w:rsidR="00B35B20" w:rsidRPr="00CB4A63" w:rsidRDefault="00B35B20" w:rsidP="00174B30">
      <w:pPr>
        <w:pStyle w:val="Sarakstarindkopa"/>
        <w:numPr>
          <w:ilvl w:val="0"/>
          <w:numId w:val="125"/>
        </w:numPr>
        <w:spacing w:after="120"/>
        <w:jc w:val="both"/>
      </w:pPr>
      <w:r>
        <w:t xml:space="preserve">ND TSO funkcijas sistēmas testēšanas posms, tostarp potenciālās ietekmes uz cenu sasaistes algoritma darbību un aprēķināto rezultātu kvalitātes testēšana; </w:t>
      </w:r>
    </w:p>
    <w:p w14:paraId="4F078B37" w14:textId="77777777" w:rsidR="00B35B20" w:rsidRPr="00CB4A63" w:rsidRDefault="00B35B20" w:rsidP="00174B30">
      <w:pPr>
        <w:pStyle w:val="Sarakstarindkopa"/>
        <w:numPr>
          <w:ilvl w:val="0"/>
          <w:numId w:val="125"/>
        </w:numPr>
        <w:spacing w:after="120"/>
        <w:jc w:val="both"/>
      </w:pPr>
      <w:r>
        <w:t>vairāku NETO risinājuma funkcija būs pieejama izmantošanai atkarībā no veiksmīgas testēšanas posma pabeigšanas (plānotais termiņš – 2018. gada februāris).</w:t>
      </w:r>
    </w:p>
    <w:p w14:paraId="6F7497DE" w14:textId="77777777" w:rsidR="00B35B20" w:rsidRPr="00CB4A63" w:rsidRDefault="007E5013" w:rsidP="00174B30">
      <w:pPr>
        <w:pStyle w:val="Sarakstarindkopa"/>
        <w:numPr>
          <w:ilvl w:val="0"/>
          <w:numId w:val="122"/>
        </w:numPr>
        <w:tabs>
          <w:tab w:val="left" w:pos="426"/>
        </w:tabs>
        <w:jc w:val="both"/>
        <w:rPr>
          <w:rFonts w:eastAsia="Times New Roman"/>
        </w:rPr>
      </w:pPr>
      <w:r>
        <w:t>Vairāku NETO funkciju ieviešanas termiņš ir atkarīgs no šādiem pieņēmumiem un priekšnosacījumiem:</w:t>
      </w:r>
    </w:p>
    <w:p w14:paraId="66F30626" w14:textId="77777777" w:rsidR="00B35B20" w:rsidRPr="00CB4A63" w:rsidRDefault="00B35B20" w:rsidP="00174B30">
      <w:pPr>
        <w:pStyle w:val="Sarakstarindkopa"/>
        <w:numPr>
          <w:ilvl w:val="1"/>
          <w:numId w:val="119"/>
        </w:numPr>
        <w:spacing w:after="0" w:line="240" w:lineRule="auto"/>
        <w:ind w:left="2160"/>
        <w:contextualSpacing w:val="0"/>
      </w:pPr>
      <w:r>
        <w:t xml:space="preserve">netiks pieprasītas papildu vairāku NETO funkcijas. Ja tiks pieprasītas papildu vairāku NETO funkcijas, tas var ievērojami ietekmēt ND TSO funkcijas izmaiņu izstrādes posmam nepieciešamo laiku; </w:t>
      </w:r>
    </w:p>
    <w:p w14:paraId="143FCC3B" w14:textId="77777777" w:rsidR="00B35B20" w:rsidRPr="00CB4A63" w:rsidRDefault="00B35B20" w:rsidP="00174B30">
      <w:pPr>
        <w:pStyle w:val="Sarakstarindkopa"/>
        <w:numPr>
          <w:ilvl w:val="1"/>
          <w:numId w:val="119"/>
        </w:numPr>
        <w:spacing w:after="0" w:line="240" w:lineRule="auto"/>
        <w:ind w:left="2160"/>
        <w:contextualSpacing w:val="0"/>
      </w:pPr>
      <w:r>
        <w:t>izstrādātajam risinājumam nebūs būtiskas negatīvas ietekmes uz ND TSO funkciju vai cenu sasaistes algoritmu, kas varētu izraisīt nespēju gūt nepieciešamos rezultātus noteiktajos termiņos;</w:t>
      </w:r>
    </w:p>
    <w:p w14:paraId="6E8AA08A" w14:textId="77777777" w:rsidR="00B35B20" w:rsidRPr="00CB4A63" w:rsidRDefault="00B35B20" w:rsidP="00174B30">
      <w:pPr>
        <w:pStyle w:val="Sarakstarindkopa"/>
        <w:numPr>
          <w:ilvl w:val="1"/>
          <w:numId w:val="119"/>
        </w:numPr>
        <w:spacing w:after="0" w:line="240" w:lineRule="auto"/>
        <w:ind w:left="2160"/>
        <w:contextualSpacing w:val="0"/>
      </w:pPr>
      <w:r>
        <w:t>jauno NETO aktivizēšana, izmantojot vairāku NETO funkciju, notiks pēc izmaiņu procesa, kas izklāstīts algoritma priekšlikumā;</w:t>
      </w:r>
    </w:p>
    <w:p w14:paraId="573DB54F" w14:textId="77777777" w:rsidR="00B35B20" w:rsidRPr="00CB4A63" w:rsidRDefault="009018A1" w:rsidP="00174B30">
      <w:pPr>
        <w:pStyle w:val="Sarakstarindkopa"/>
        <w:numPr>
          <w:ilvl w:val="1"/>
          <w:numId w:val="119"/>
        </w:numPr>
        <w:spacing w:after="0" w:line="240" w:lineRule="auto"/>
        <w:ind w:left="2160"/>
        <w:contextualSpacing w:val="0"/>
      </w:pPr>
      <w:r>
        <w:t>NETO nav ietvēruši plānošanas zonas kā cenu sasaistes algoritma sākotnējo prasību; ja plānošanas zonu ietveršana kļūst par cenu sasaistes algoritma sākotnējo prasību, tas nozīmē būtisku izmaiņu pieprasījumu, kura rezultātā būs nepieciešams cenu sasaistes algoritma darbības un ieviešanas termiņa pilnīgs novērtējums;</w:t>
      </w:r>
    </w:p>
    <w:p w14:paraId="7561762E" w14:textId="77777777" w:rsidR="00B35B20" w:rsidRPr="00CB4A63" w:rsidRDefault="00B35B20" w:rsidP="00174B30">
      <w:pPr>
        <w:pStyle w:val="Sarakstarindkopa"/>
        <w:numPr>
          <w:ilvl w:val="1"/>
          <w:numId w:val="119"/>
        </w:numPr>
        <w:spacing w:after="0" w:line="240" w:lineRule="auto"/>
        <w:ind w:left="2160"/>
        <w:contextualSpacing w:val="0"/>
      </w:pPr>
      <w:r>
        <w:t>lai izpildītu ierosinātos ND TSO funkcijas tehniskos posmu, atbilstošajiem PSO un NETO līdz 2017. gada jūlijam jānorāda konkrētas prasības, kurām jābūt savstarpēji saskaņotām un nav jāparedz ievērojamas ND TSO funkcijas izmaiņas.</w:t>
      </w:r>
    </w:p>
    <w:p w14:paraId="36FFC4CA" w14:textId="77777777" w:rsidR="00633996" w:rsidRPr="00CB4A63" w:rsidRDefault="00633996" w:rsidP="00764D9D">
      <w:pPr>
        <w:pStyle w:val="Virsraksts3"/>
      </w:pPr>
      <w:bookmarkStart w:id="62" w:name="_Toc479786213"/>
      <w:bookmarkStart w:id="63" w:name="_Toc484770692"/>
      <w:r>
        <w:lastRenderedPageBreak/>
        <w:t>Ar ND TSO funkcijas ieviešanu vietējā mērogā saistītie NETO posmi</w:t>
      </w:r>
      <w:bookmarkEnd w:id="62"/>
      <w:bookmarkEnd w:id="63"/>
      <w:r>
        <w:t xml:space="preserve"> </w:t>
      </w:r>
    </w:p>
    <w:p w14:paraId="0D2D3973" w14:textId="77777777" w:rsidR="00C9751C" w:rsidRPr="00CB4A63" w:rsidRDefault="00C9751C" w:rsidP="00174B30">
      <w:pPr>
        <w:pStyle w:val="Sarakstarindkopa"/>
        <w:numPr>
          <w:ilvl w:val="0"/>
          <w:numId w:val="115"/>
        </w:numPr>
        <w:spacing w:after="120"/>
        <w:contextualSpacing w:val="0"/>
        <w:jc w:val="both"/>
      </w:pPr>
      <w:r>
        <w:t>ND TSO funkcijas ieviešana jāregulē reģionālajiem termiņiem, kas noteikti vietējā mērogā un var atšķirties katrā reģionā. Tālāk izskaidroti NETO posmi ND TSO funkcijas ieviešanai:</w:t>
      </w:r>
    </w:p>
    <w:p w14:paraId="1B01AFDF" w14:textId="1964343E" w:rsidR="00C9751C" w:rsidRPr="00CB4A63" w:rsidRDefault="00B21557" w:rsidP="00174B30">
      <w:pPr>
        <w:pStyle w:val="Sarakstarindkopa"/>
        <w:numPr>
          <w:ilvl w:val="0"/>
          <w:numId w:val="116"/>
        </w:numPr>
        <w:tabs>
          <w:tab w:val="left" w:pos="426"/>
        </w:tabs>
        <w:jc w:val="both"/>
        <w:rPr>
          <w:rFonts w:eastAsia="Times New Roman"/>
        </w:rPr>
      </w:pPr>
      <w:r>
        <w:t xml:space="preserve">NETO ND darbības līguma noslēgšana, lai pārvaldītu sasaistes posmu sadarbībā ar visiem NETO; </w:t>
      </w:r>
    </w:p>
    <w:p w14:paraId="2AC4AF3E" w14:textId="77777777" w:rsidR="00325A35" w:rsidRPr="00CB4A63" w:rsidRDefault="00B21557" w:rsidP="00174B30">
      <w:pPr>
        <w:pStyle w:val="Sarakstarindkopa"/>
        <w:numPr>
          <w:ilvl w:val="0"/>
          <w:numId w:val="116"/>
        </w:numPr>
        <w:tabs>
          <w:tab w:val="left" w:pos="426"/>
        </w:tabs>
        <w:jc w:val="both"/>
        <w:rPr>
          <w:rFonts w:eastAsia="Times New Roman"/>
        </w:rPr>
      </w:pPr>
      <w:r>
        <w:t xml:space="preserve">nepieciešamās testēšanas un simulāciju veikšana saskaņā ar NETO ND darbības līgumā noteikto testēšanas un simulāciju procedūru. Katram NETO, kas ir NETO ND darbības līguma puse, individuāli jāgarantē, ka no sasaistes darbību sākšanas dienas tā NDS iesaistītās sistēmas, uzņēmējdarbības procesi, tirgus noteikumi un pārdotie produkti nodrošinās vienmērīgu ND TSO funkcijas testēšanu un ieviešanu. </w:t>
      </w:r>
    </w:p>
    <w:p w14:paraId="56839DF6" w14:textId="77777777" w:rsidR="00325A35" w:rsidRPr="00CB4A63" w:rsidRDefault="00325A35" w:rsidP="00174B30">
      <w:pPr>
        <w:pStyle w:val="Sarakstarindkopa"/>
        <w:numPr>
          <w:ilvl w:val="0"/>
          <w:numId w:val="115"/>
        </w:numPr>
        <w:spacing w:after="120"/>
        <w:contextualSpacing w:val="0"/>
        <w:jc w:val="both"/>
      </w:pPr>
      <w:r>
        <w:t>Lai ieviestu nākamās dienas sasaisti, NETO jānoslēdz vietējie, reģionālie vai Eiropas mēroga līgumi ar PSO, lai pārvaldītu procesus pirms un pēc sasaistes, tostarp nepieciešamības gadījumā – vairāku NETO līgumus, kas paredzēti CACM regulas 45. pantā.  Šādu vietējo līgumu īstenošana, tostarp pirms sasaistes un pēc sasaistes, ir attiecīgo PSO un NETO atbildība, un tā ir ārpus TSO plāna darbības jomas.</w:t>
      </w:r>
    </w:p>
    <w:p w14:paraId="124FC84D" w14:textId="77777777" w:rsidR="00C9751C" w:rsidRPr="00CB4A63" w:rsidRDefault="00C9751C" w:rsidP="00007354">
      <w:pPr>
        <w:pStyle w:val="Sarakstarindkopa"/>
        <w:spacing w:after="120"/>
        <w:ind w:left="360"/>
        <w:contextualSpacing w:val="0"/>
        <w:jc w:val="both"/>
      </w:pPr>
    </w:p>
    <w:p w14:paraId="19C3F4F6" w14:textId="77777777" w:rsidR="00633996" w:rsidRPr="00CB4A63" w:rsidRDefault="00633996" w:rsidP="00384080">
      <w:pPr>
        <w:pStyle w:val="Virsraksts2"/>
        <w:keepNext w:val="0"/>
        <w:keepLines w:val="0"/>
        <w:numPr>
          <w:ilvl w:val="1"/>
          <w:numId w:val="28"/>
        </w:numPr>
        <w:spacing w:before="280" w:after="120" w:line="240" w:lineRule="auto"/>
        <w:ind w:right="259"/>
      </w:pPr>
      <w:bookmarkStart w:id="64" w:name="_Toc479786214"/>
      <w:bookmarkStart w:id="65" w:name="_Toc484770693"/>
      <w:r>
        <w:t>DTSO funkcijas ieviešana</w:t>
      </w:r>
      <w:bookmarkEnd w:id="64"/>
      <w:bookmarkEnd w:id="65"/>
      <w:r>
        <w:t xml:space="preserve"> </w:t>
      </w:r>
    </w:p>
    <w:p w14:paraId="0D9943AF" w14:textId="77777777" w:rsidR="00ED6A89" w:rsidRPr="00CB4A63" w:rsidRDefault="00ED6A89" w:rsidP="00ED6A89">
      <w:pPr>
        <w:pStyle w:val="Sarakstarindkopa"/>
        <w:spacing w:after="120"/>
        <w:ind w:left="357"/>
        <w:jc w:val="both"/>
      </w:pPr>
    </w:p>
    <w:p w14:paraId="4BC63A89" w14:textId="77777777" w:rsidR="00C94271" w:rsidRPr="00CB4A63" w:rsidRDefault="00C94271" w:rsidP="00174B30">
      <w:pPr>
        <w:pStyle w:val="Sarakstarindkopa"/>
        <w:numPr>
          <w:ilvl w:val="0"/>
          <w:numId w:val="92"/>
        </w:numPr>
        <w:spacing w:after="120"/>
        <w:ind w:left="357"/>
        <w:jc w:val="both"/>
      </w:pPr>
      <w:r>
        <w:t xml:space="preserve">TSO plānā norādīti uzdevumi, ko visiem NETO nepieciešams izpildīt, lai kopā izveidotu un īstenotu DTSO funkciju. Uzdevumi ietver SRD risinājuma kā DTSO funkcijas sākumpunkta pieņemšanu (kā aprakstīts 5.2.1. punktā), DTSO funkcijas ieviešanas, testēšanas un izpildes tehniskos posmus (kā aprakstīts 5.2.3. punktā) un līguma atsauces posmus, lai īstenotu DTSO funkcijas darbībai nepieciešamos līgumus un pārvaldības pasākumus (kā aprakstīts 5.2.2. punktā). </w:t>
      </w:r>
    </w:p>
    <w:p w14:paraId="0EC068D2" w14:textId="77777777" w:rsidR="00C94271" w:rsidRPr="00CB4A63" w:rsidRDefault="00C94271" w:rsidP="00C94271">
      <w:pPr>
        <w:pStyle w:val="Sarakstarindkopa"/>
        <w:spacing w:after="120"/>
        <w:ind w:left="357"/>
        <w:jc w:val="both"/>
      </w:pPr>
    </w:p>
    <w:p w14:paraId="06820BF8" w14:textId="77777777" w:rsidR="00C94271" w:rsidRPr="00CB4A63" w:rsidRDefault="00C94271" w:rsidP="00174B30">
      <w:pPr>
        <w:pStyle w:val="Sarakstarindkopa"/>
        <w:numPr>
          <w:ilvl w:val="0"/>
          <w:numId w:val="92"/>
        </w:numPr>
        <w:spacing w:after="120"/>
        <w:ind w:left="357"/>
        <w:jc w:val="both"/>
      </w:pPr>
      <w:r>
        <w:t>Saskaņā ar CACM regulu TSO plāns ietver detalizētu posmu aprakstu un ierosināto DTSO funkcijas ieviešanas termiņu, kas nav ilgāks par 12 mēnešiem. Saskaņā ar CACM regulas 7. panta 5. punktu visu NETO komitejai jāziņo aģentūrai par tehnisko un līguma posmu izpildes progresu.</w:t>
      </w:r>
    </w:p>
    <w:p w14:paraId="4611EE1A" w14:textId="77777777" w:rsidR="00C94271" w:rsidRPr="00CB4A63" w:rsidRDefault="00C94271" w:rsidP="00C94271">
      <w:pPr>
        <w:pStyle w:val="Sarakstarindkopa"/>
      </w:pPr>
    </w:p>
    <w:p w14:paraId="38E84073" w14:textId="77777777" w:rsidR="00C94271" w:rsidRPr="00CB4A63" w:rsidRDefault="00C94271" w:rsidP="00174B30">
      <w:pPr>
        <w:pStyle w:val="Sarakstarindkopa"/>
        <w:numPr>
          <w:ilvl w:val="0"/>
          <w:numId w:val="92"/>
        </w:numPr>
        <w:spacing w:after="120"/>
        <w:ind w:left="357"/>
        <w:jc w:val="both"/>
      </w:pPr>
      <w:r>
        <w:t>TSO plāns uzskatāms par īstenotu, kad ir izpildīti šajā punktā norādītie tehniskie un līguma posmi un DTSO funkcija ir pieejama lietošanai visiem NETO.</w:t>
      </w:r>
    </w:p>
    <w:p w14:paraId="40FD4FEC" w14:textId="77777777" w:rsidR="00C94271" w:rsidRPr="00CB4A63" w:rsidRDefault="00C94271" w:rsidP="00C94271">
      <w:pPr>
        <w:pStyle w:val="Sarakstarindkopa"/>
      </w:pPr>
    </w:p>
    <w:p w14:paraId="50EFE9E6" w14:textId="77777777" w:rsidR="00C94271" w:rsidRPr="00CB4A63" w:rsidRDefault="00C94271" w:rsidP="00174B30">
      <w:pPr>
        <w:pStyle w:val="Sarakstarindkopa"/>
        <w:numPr>
          <w:ilvl w:val="0"/>
          <w:numId w:val="92"/>
        </w:numPr>
        <w:spacing w:after="120"/>
        <w:ind w:left="357"/>
        <w:jc w:val="both"/>
      </w:pPr>
      <w:r>
        <w:t xml:space="preserve">Lai NETO varētu izmantot DTSO funkciju, tiem papildus jāizpilda nepieciešamie tehniskie un līguma priekšnosacījumi, kas izskaidroti 5.2.4. punktā. </w:t>
      </w:r>
    </w:p>
    <w:p w14:paraId="1EECFC3E" w14:textId="77777777" w:rsidR="00C94271" w:rsidRPr="00CB4A63" w:rsidRDefault="00C94271" w:rsidP="00C94271">
      <w:pPr>
        <w:pStyle w:val="Sarakstarindkopa"/>
      </w:pPr>
    </w:p>
    <w:p w14:paraId="04958848" w14:textId="77777777" w:rsidR="00BF74D0" w:rsidRPr="00CB4A63" w:rsidRDefault="00C94271" w:rsidP="00174B30">
      <w:pPr>
        <w:pStyle w:val="Sarakstarindkopa"/>
        <w:numPr>
          <w:ilvl w:val="0"/>
          <w:numId w:val="92"/>
        </w:numPr>
        <w:spacing w:after="120"/>
        <w:ind w:left="357"/>
        <w:jc w:val="both"/>
      </w:pPr>
      <w:r>
        <w:t xml:space="preserve">NETO plāno pabeigt DTSO funkcijas ieviešanu, kā arī visu tehnisko un līguma posmu, kas NETO nepieciešami DTSO funkcijas izpildei, izpildi līdz 2017. gada septembrim, un tas jebkurā gadījumā neaizņems vairāk kā 12 mēnešu TSO plāna īstenošanas periodu. </w:t>
      </w:r>
    </w:p>
    <w:p w14:paraId="7799D6A5" w14:textId="77777777" w:rsidR="00026FBD" w:rsidRPr="00CB4A63" w:rsidRDefault="00026FBD" w:rsidP="00026FBD">
      <w:pPr>
        <w:pStyle w:val="Sarakstarindkopa"/>
        <w:spacing w:after="120"/>
        <w:ind w:left="357"/>
        <w:jc w:val="both"/>
      </w:pPr>
    </w:p>
    <w:p w14:paraId="63CC6363" w14:textId="77777777" w:rsidR="00C94271" w:rsidRPr="00CB4A63" w:rsidRDefault="00C94271" w:rsidP="00174B30">
      <w:pPr>
        <w:pStyle w:val="Sarakstarindkopa"/>
        <w:numPr>
          <w:ilvl w:val="0"/>
          <w:numId w:val="92"/>
        </w:numPr>
        <w:spacing w:after="120"/>
        <w:ind w:left="357"/>
        <w:jc w:val="both"/>
      </w:pPr>
      <w:r>
        <w:t xml:space="preserve">TSO plāna joma neietver pirms un pēc sasaistes veicamās darbības, kas nepieciešamas, lai izmantotu DTSO funkciju jaudas piešķiršanai solīšanas zonas robežā. </w:t>
      </w:r>
    </w:p>
    <w:p w14:paraId="330DB916" w14:textId="77777777" w:rsidR="00C94271" w:rsidRPr="00CB4A63" w:rsidRDefault="00C94271" w:rsidP="00764D9D">
      <w:pPr>
        <w:pStyle w:val="Virsraksts3"/>
      </w:pPr>
      <w:bookmarkStart w:id="66" w:name="_Toc479786215"/>
      <w:bookmarkStart w:id="67" w:name="_Toc484770694"/>
      <w:r>
        <w:t>SRD risinājuma kā DTSO funkcijas pieņemšana</w:t>
      </w:r>
      <w:bookmarkEnd w:id="66"/>
      <w:bookmarkEnd w:id="67"/>
    </w:p>
    <w:p w14:paraId="30825EF4" w14:textId="77777777" w:rsidR="00C94271" w:rsidRPr="00CB4A63" w:rsidRDefault="001B7B9E" w:rsidP="00174B30">
      <w:pPr>
        <w:pStyle w:val="Sarakstarindkopa"/>
        <w:numPr>
          <w:ilvl w:val="0"/>
          <w:numId w:val="97"/>
        </w:numPr>
        <w:spacing w:after="120"/>
        <w:jc w:val="both"/>
      </w:pPr>
      <w:r>
        <w:t xml:space="preserve">DTSO funkcijas īstenošanai saskaņā ar CACM regulas 36. panta 4. punktu jābalstās uz SRD risinājumu (IT līdzekļiem un atbilstošajām procedūrām), kas ir esošais diennakts sasaistei </w:t>
      </w:r>
      <w:r>
        <w:lastRenderedPageBreak/>
        <w:t>izmantotais risinājums un ir izstrādāts pirms CACM regulas stāšanās spēkā. Kad NETO pieņem SRD risinājumu kā DTSO funkcijas pamatu, lai turpinātu un paplašinātu VNSL, tam jābūt atkarīgam no līguma ar PSO (un attiecīgā gadījumā – VPSL).</w:t>
      </w:r>
    </w:p>
    <w:p w14:paraId="148187F1" w14:textId="77777777" w:rsidR="00C94271" w:rsidRPr="00CB4A63" w:rsidRDefault="00C94271" w:rsidP="00C94271">
      <w:pPr>
        <w:pStyle w:val="Sarakstarindkopa"/>
        <w:spacing w:after="120"/>
        <w:ind w:left="357"/>
        <w:jc w:val="both"/>
      </w:pPr>
    </w:p>
    <w:p w14:paraId="4848DF19" w14:textId="77777777" w:rsidR="00C94271" w:rsidRPr="00CB4A63" w:rsidRDefault="00C94271" w:rsidP="00174B30">
      <w:pPr>
        <w:pStyle w:val="Sarakstarindkopa"/>
        <w:numPr>
          <w:ilvl w:val="0"/>
          <w:numId w:val="97"/>
        </w:numPr>
        <w:spacing w:after="120"/>
        <w:ind w:left="357"/>
        <w:jc w:val="both"/>
      </w:pPr>
      <w:r>
        <w:t>Jebkuru novēlotas apstiprināšanas un ar VPSL noslēgto līgumu ietekmi uz TSO plāna pabeigšanas datumu attiecīgajā brīdī novērtēs NETO. Ciktāl iespējams, NETO jācenšas ierobežot šāda ietekme.</w:t>
      </w:r>
    </w:p>
    <w:p w14:paraId="2EA3A4EA" w14:textId="77777777" w:rsidR="00C94271" w:rsidRPr="00CB4A63" w:rsidRDefault="00C94271" w:rsidP="00C94271">
      <w:pPr>
        <w:pStyle w:val="Sarakstarindkopa"/>
      </w:pPr>
    </w:p>
    <w:p w14:paraId="56FA6EE3" w14:textId="77777777" w:rsidR="00C94271" w:rsidRPr="00CB4A63" w:rsidRDefault="00A012A4" w:rsidP="00174B30">
      <w:pPr>
        <w:pStyle w:val="Sarakstarindkopa"/>
        <w:numPr>
          <w:ilvl w:val="0"/>
          <w:numId w:val="97"/>
        </w:numPr>
        <w:spacing w:after="120"/>
        <w:ind w:left="357"/>
        <w:jc w:val="both"/>
      </w:pPr>
      <w:r>
        <w:t>Lai DTSO funkcija kļūtu funkcionāla dalībvalstī ir jāīsteno šādi darbību posmi:</w:t>
      </w:r>
    </w:p>
    <w:p w14:paraId="607CD80C" w14:textId="77777777" w:rsidR="00A012A4" w:rsidRPr="00CB4A63" w:rsidRDefault="00A012A4" w:rsidP="00174B30">
      <w:pPr>
        <w:pStyle w:val="Sarakstarindkopa"/>
        <w:numPr>
          <w:ilvl w:val="1"/>
          <w:numId w:val="97"/>
        </w:numPr>
      </w:pPr>
      <w:r>
        <w:t>līgumiskā gatavība (5.2.2. punkts);</w:t>
      </w:r>
    </w:p>
    <w:p w14:paraId="30793F8B" w14:textId="77777777" w:rsidR="00A012A4" w:rsidRPr="00CB4A63" w:rsidRDefault="00C94271" w:rsidP="00174B30">
      <w:pPr>
        <w:pStyle w:val="Sarakstarindkopa"/>
        <w:numPr>
          <w:ilvl w:val="1"/>
          <w:numId w:val="97"/>
        </w:numPr>
      </w:pPr>
      <w:r>
        <w:t xml:space="preserve">tehniskā gatavība (5.2.3. punkts); </w:t>
      </w:r>
    </w:p>
    <w:p w14:paraId="368782A6" w14:textId="77777777" w:rsidR="00401E42" w:rsidRPr="00CB4A63" w:rsidRDefault="00CD1AEE" w:rsidP="00A012A4">
      <w:pPr>
        <w:pStyle w:val="Sarakstarindkopa"/>
        <w:numPr>
          <w:ilvl w:val="1"/>
          <w:numId w:val="97"/>
        </w:numPr>
      </w:pPr>
      <w:r>
        <w:t>vietējās ieviešanas gatavība (5.2.4. punkts).</w:t>
      </w:r>
    </w:p>
    <w:p w14:paraId="07ABFB44" w14:textId="77777777" w:rsidR="00C94271" w:rsidRPr="00CB4A63" w:rsidRDefault="00C94271" w:rsidP="00BC3709">
      <w:pPr>
        <w:pStyle w:val="Sarakstarindkopa"/>
        <w:spacing w:after="120"/>
        <w:ind w:left="1080"/>
        <w:jc w:val="both"/>
      </w:pPr>
    </w:p>
    <w:p w14:paraId="6BD314D3" w14:textId="77777777" w:rsidR="00633996" w:rsidRPr="00CB4A63" w:rsidRDefault="00633996" w:rsidP="00764D9D">
      <w:pPr>
        <w:pStyle w:val="Virsraksts3"/>
      </w:pPr>
      <w:bookmarkStart w:id="68" w:name="_Toc479786216"/>
      <w:bookmarkStart w:id="69" w:name="_Toc484770695"/>
      <w:r>
        <w:t>Ar DTSO funkcijas ieviešanu saistītie līguma posmi</w:t>
      </w:r>
      <w:bookmarkEnd w:id="68"/>
      <w:bookmarkEnd w:id="69"/>
    </w:p>
    <w:p w14:paraId="1BD2DA8A" w14:textId="77777777" w:rsidR="00633996" w:rsidRPr="00CB4A63" w:rsidRDefault="00F36554" w:rsidP="00174B30">
      <w:pPr>
        <w:pStyle w:val="Sarakstarindkopa"/>
        <w:numPr>
          <w:ilvl w:val="0"/>
          <w:numId w:val="91"/>
        </w:numPr>
        <w:spacing w:after="120"/>
        <w:jc w:val="both"/>
      </w:pPr>
      <w:r>
        <w:t>NETO sadarbībai, lai īstenotu DTSO funkciju, jābalstās uz šādu līgumisko satvaru:</w:t>
      </w:r>
    </w:p>
    <w:p w14:paraId="0316AB97" w14:textId="77777777" w:rsidR="00633996" w:rsidRPr="00CB4A63" w:rsidRDefault="00633996" w:rsidP="00633996">
      <w:pPr>
        <w:pStyle w:val="Sarakstarindkopa"/>
        <w:spacing w:after="120"/>
        <w:ind w:left="360"/>
        <w:jc w:val="both"/>
      </w:pPr>
    </w:p>
    <w:p w14:paraId="17C16FF6" w14:textId="77777777" w:rsidR="00633996" w:rsidRPr="00CB4A63" w:rsidRDefault="008C1D2D" w:rsidP="00174B30">
      <w:pPr>
        <w:pStyle w:val="Sarakstarindkopa"/>
        <w:numPr>
          <w:ilvl w:val="1"/>
          <w:numId w:val="89"/>
        </w:numPr>
        <w:jc w:val="both"/>
      </w:pPr>
      <w:r>
        <w:rPr>
          <w:rFonts w:ascii="Calibri" w:hAnsi="Calibri"/>
        </w:rPr>
        <w:t>visu NETO sadarbības līgums (turpmāk – „VNSL”)</w:t>
      </w:r>
      <w:r>
        <w:t>;</w:t>
      </w:r>
    </w:p>
    <w:p w14:paraId="72F0FB5F" w14:textId="77777777" w:rsidR="00633996" w:rsidRPr="00CB4A63" w:rsidRDefault="00633996" w:rsidP="00174B30">
      <w:pPr>
        <w:pStyle w:val="Sarakstarindkopa"/>
        <w:numPr>
          <w:ilvl w:val="1"/>
          <w:numId w:val="89"/>
        </w:numPr>
        <w:jc w:val="both"/>
      </w:pPr>
      <w:r>
        <w:t>elektroenerģijas biržu sadarbības līgums (turpmāk – „ EBSL”) un tam sekojošais NETO D darbības līgums;</w:t>
      </w:r>
    </w:p>
    <w:p w14:paraId="21E8558A" w14:textId="77777777" w:rsidR="00633996" w:rsidRPr="00CB4A63" w:rsidRDefault="00633996" w:rsidP="00174B30">
      <w:pPr>
        <w:pStyle w:val="Sarakstarindkopa"/>
        <w:numPr>
          <w:ilvl w:val="1"/>
          <w:numId w:val="89"/>
        </w:numPr>
        <w:jc w:val="both"/>
      </w:pPr>
      <w:r>
        <w:t xml:space="preserve">visu pušu sadarbības līgums – </w:t>
      </w:r>
      <w:r>
        <w:rPr>
          <w:rFonts w:ascii="Calibri" w:hAnsi="Calibri"/>
        </w:rPr>
        <w:t xml:space="preserve">starp NETO un PSO (turpmāk – „VPSL”) un tam sekojošais </w:t>
      </w:r>
      <w:r>
        <w:t>diennakts darbības līgums;</w:t>
      </w:r>
    </w:p>
    <w:p w14:paraId="69264381" w14:textId="77777777" w:rsidR="00633996" w:rsidRPr="00CB4A63" w:rsidRDefault="00633996" w:rsidP="00174B30">
      <w:pPr>
        <w:pStyle w:val="Sarakstarindkopa"/>
        <w:numPr>
          <w:ilvl w:val="1"/>
          <w:numId w:val="89"/>
        </w:numPr>
        <w:jc w:val="both"/>
      </w:pPr>
      <w:r>
        <w:t>saistītais līgums starp NETO un PSO, kas kļūs par diennakts darbības līguma daļu;</w:t>
      </w:r>
    </w:p>
    <w:p w14:paraId="7BF8AACA" w14:textId="77777777" w:rsidR="00633996" w:rsidRPr="00CB4A63" w:rsidRDefault="00633996" w:rsidP="00174B30">
      <w:pPr>
        <w:pStyle w:val="Sarakstarindkopa"/>
        <w:numPr>
          <w:ilvl w:val="1"/>
          <w:numId w:val="89"/>
        </w:numPr>
        <w:jc w:val="both"/>
      </w:pPr>
      <w:r>
        <w:t>līgumi ar DTSO funkcijas pakalpojumu nodrošinātājiem;</w:t>
      </w:r>
    </w:p>
    <w:p w14:paraId="0DBCFC0D" w14:textId="77777777" w:rsidR="00633996" w:rsidRPr="00CB4A63" w:rsidRDefault="00633996" w:rsidP="00174B30">
      <w:pPr>
        <w:pStyle w:val="Sarakstarindkopa"/>
        <w:numPr>
          <w:ilvl w:val="2"/>
          <w:numId w:val="89"/>
        </w:numPr>
        <w:jc w:val="both"/>
      </w:pPr>
      <w:r>
        <w:t>vispārējais pakalpojumu līgums un nodrošināmo pakalpojumu līgumi (turpmāk – „NPL”) ar DTSO funkcijas sistēmas piegādātāju;</w:t>
      </w:r>
    </w:p>
    <w:p w14:paraId="261E2B28" w14:textId="04854F88" w:rsidR="00633996" w:rsidRPr="00CB4A63" w:rsidRDefault="00633996" w:rsidP="00174B30">
      <w:pPr>
        <w:pStyle w:val="Sarakstarindkopa"/>
        <w:numPr>
          <w:ilvl w:val="2"/>
          <w:numId w:val="89"/>
        </w:numPr>
        <w:jc w:val="both"/>
      </w:pPr>
      <w:r>
        <w:t>līgums ar dažādu protokolu komutācijas, izmantojot marķējumu (MPLS) pakalpojumu nodrošinātāju;</w:t>
      </w:r>
    </w:p>
    <w:p w14:paraId="6E6A6C5A" w14:textId="77777777" w:rsidR="00633996" w:rsidRPr="00CB4A63" w:rsidRDefault="00633996" w:rsidP="00174B30">
      <w:pPr>
        <w:pStyle w:val="Sarakstarindkopa"/>
        <w:numPr>
          <w:ilvl w:val="2"/>
          <w:numId w:val="89"/>
        </w:numPr>
        <w:jc w:val="both"/>
      </w:pPr>
      <w:r>
        <w:t>līgums ar PVB pakalpojumu nodrošinātāju.</w:t>
      </w:r>
    </w:p>
    <w:p w14:paraId="03CBBC33" w14:textId="77777777" w:rsidR="00633996" w:rsidRPr="00CB4A63" w:rsidRDefault="00633996" w:rsidP="00633996">
      <w:pPr>
        <w:pStyle w:val="Sarakstarindkopa"/>
        <w:ind w:left="360"/>
        <w:rPr>
          <w:color w:val="FF0000"/>
        </w:rPr>
      </w:pPr>
    </w:p>
    <w:p w14:paraId="39FF9B9D" w14:textId="77777777" w:rsidR="00633996" w:rsidRPr="00CB4A63" w:rsidRDefault="00633996" w:rsidP="00174B30">
      <w:pPr>
        <w:pStyle w:val="Sarakstarindkopa"/>
        <w:numPr>
          <w:ilvl w:val="0"/>
          <w:numId w:val="89"/>
        </w:numPr>
        <w:spacing w:after="120"/>
        <w:jc w:val="both"/>
      </w:pPr>
      <w:r>
        <w:t>Kad VNSL būs stājies spēkā, tas noteiks vispārējo pārvaldības sistēmu.  Saskaņā ar VNSL EBSL un tam sekojošā NETO D darbības līguma parakstītāju lēmumi par diennakts sasaistes īstenošanu un darbību tiks pieņemti vienprātīgi, bet gadījumos, kad nebūs iespējams panākt vienprātību, tie tiks pāradresēti visu NETO komitejai.</w:t>
      </w:r>
    </w:p>
    <w:p w14:paraId="1E019A86" w14:textId="77777777" w:rsidR="00633996" w:rsidRPr="00CB4A63" w:rsidRDefault="00633996" w:rsidP="00633996">
      <w:pPr>
        <w:pStyle w:val="Sarakstarindkopa"/>
        <w:spacing w:after="120"/>
        <w:ind w:left="360"/>
        <w:jc w:val="both"/>
      </w:pPr>
    </w:p>
    <w:p w14:paraId="3E91BAE8" w14:textId="77777777" w:rsidR="00633996" w:rsidRPr="00CB4A63" w:rsidRDefault="00633996" w:rsidP="00174B30">
      <w:pPr>
        <w:pStyle w:val="Sarakstarindkopa"/>
        <w:numPr>
          <w:ilvl w:val="0"/>
          <w:numId w:val="89"/>
        </w:numPr>
        <w:spacing w:after="120"/>
        <w:jc w:val="both"/>
      </w:pPr>
      <w:r>
        <w:t xml:space="preserve">NETO plāno, ka visi DS īstenošanai izvirzītie NETO pievienosies VNSL līdz 2017. gada novembrim. </w:t>
      </w:r>
    </w:p>
    <w:p w14:paraId="77BC20E8" w14:textId="77777777" w:rsidR="00633996" w:rsidRPr="00CB4A63" w:rsidRDefault="00633996" w:rsidP="00633996">
      <w:pPr>
        <w:pStyle w:val="Sarakstarindkopa"/>
        <w:ind w:left="360"/>
        <w:rPr>
          <w:color w:val="FF0000"/>
        </w:rPr>
      </w:pPr>
    </w:p>
    <w:p w14:paraId="07476131" w14:textId="77777777" w:rsidR="00633996" w:rsidRPr="00CB4A63" w:rsidRDefault="00633996" w:rsidP="00174B30">
      <w:pPr>
        <w:pStyle w:val="Sarakstarindkopa"/>
        <w:numPr>
          <w:ilvl w:val="0"/>
          <w:numId w:val="89"/>
        </w:numPr>
        <w:rPr>
          <w:color w:val="FF0000"/>
        </w:rPr>
      </w:pPr>
      <w:r>
        <w:t xml:space="preserve">Saskaņā ar EBSL noteikumiem EBSL jābūt atvērtam visiem DS izpildei izvirzītajiem NETO. EBSL jāizklāsta NETO sadarbības noteikumi DTSO funkcijas izstrādes posmā, kas nepieciešami diennakts sistēmas un DTSO funkcijas īstenošanai. EBSL lēmumu pieņemšanas procesa pamatā ir vienprātība. </w:t>
      </w:r>
    </w:p>
    <w:p w14:paraId="5868407C" w14:textId="77777777" w:rsidR="00633996" w:rsidRPr="00CB4A63" w:rsidRDefault="00633996" w:rsidP="00633996">
      <w:pPr>
        <w:pStyle w:val="Sarakstarindkopa"/>
        <w:ind w:left="360"/>
        <w:rPr>
          <w:color w:val="FF0000"/>
        </w:rPr>
      </w:pPr>
    </w:p>
    <w:p w14:paraId="327EAAEA" w14:textId="77777777" w:rsidR="0039548A" w:rsidRPr="00CB4A63" w:rsidRDefault="00633996" w:rsidP="00174B30">
      <w:pPr>
        <w:pStyle w:val="Sarakstarindkopa"/>
        <w:numPr>
          <w:ilvl w:val="0"/>
          <w:numId w:val="89"/>
        </w:numPr>
      </w:pPr>
      <w:r>
        <w:t xml:space="preserve">Saskaņā ar EBSL visi iesaistītie NETO piekrīt izstrādāt un ieviest visus DTSO funkcijas elementus, noslēgt līgumus, lai koordinētos ar PSO, un sadarboties, lai vadītu, noteiktu prioritātes un pārvaldītu diennakts sistēmas un DTSO funkcijas izstrādi un ieviešanu. EBSL stājās spēkā 2014. gada jūnijā. </w:t>
      </w:r>
    </w:p>
    <w:p w14:paraId="406FB2FE" w14:textId="77777777" w:rsidR="0039548A" w:rsidRPr="00CB4A63" w:rsidRDefault="0039548A" w:rsidP="0039548A">
      <w:pPr>
        <w:pStyle w:val="Sarakstarindkopa"/>
        <w:ind w:left="360"/>
      </w:pPr>
    </w:p>
    <w:p w14:paraId="183287E7" w14:textId="77777777" w:rsidR="00633996" w:rsidRPr="00CB4A63" w:rsidRDefault="00633996" w:rsidP="00174B30">
      <w:pPr>
        <w:pStyle w:val="Sarakstarindkopa"/>
        <w:numPr>
          <w:ilvl w:val="0"/>
          <w:numId w:val="89"/>
        </w:numPr>
      </w:pPr>
      <w:r>
        <w:lastRenderedPageBreak/>
        <w:t xml:space="preserve">VPSL izstrādes posmā jānosaka NETO un PSO lomas un pienākumus diennakts sistēmas un DTSO funkcijas izstrādē. Saskaņā ar VPSL NETO jāiesaista piemēroti DTSO funkcijas pakalpojumu nodrošinātāji, kas nodrošinās DTSO funkciju, ievērojot ar PSO norunāto plānošanu un budžetu. VPSL jānosaka PSO prasības, kā arī jāpārrauga un jāpārbauda šo prasību īstenošana. VPSL jānodrošina arī lokālo ieviešanas </w:t>
      </w:r>
      <w:r>
        <w:rPr>
          <w:rFonts w:ascii="Calibri" w:hAnsi="Calibri"/>
        </w:rPr>
        <w:t>projektu (turpmāk — „LIP”) saskarnes, kā arī</w:t>
      </w:r>
      <w:r>
        <w:t xml:space="preserve"> procedūras pirms un pēc sasaistes. VPSL lēmumu pieņemšanas procesa pamatā jābūt vienprātībai. VPSL stājās spēkā 2014. gada jūlijā. </w:t>
      </w:r>
    </w:p>
    <w:p w14:paraId="65946349" w14:textId="77777777" w:rsidR="00633996" w:rsidRPr="00CB4A63" w:rsidRDefault="00633996" w:rsidP="00633996">
      <w:pPr>
        <w:pStyle w:val="Sarakstarindkopa"/>
        <w:ind w:left="360"/>
      </w:pPr>
    </w:p>
    <w:p w14:paraId="08B1D478" w14:textId="77777777" w:rsidR="00633996" w:rsidRPr="00CB4A63" w:rsidRDefault="00633996" w:rsidP="00174B30">
      <w:pPr>
        <w:pStyle w:val="Sarakstarindkopa"/>
        <w:numPr>
          <w:ilvl w:val="0"/>
          <w:numId w:val="89"/>
        </w:numPr>
      </w:pPr>
      <w:r>
        <w:t xml:space="preserve">Saistītais līgums starp NETO un PSO, kas ir VPSL puses, parāda, ka tikai NETO ir noslēguši līgumu ar DTSO funkcijas sistēmas piegādātāju, lai izstrādātu DTSO funkciju. Izstrādes posmā PSO testēs un apstiprinās funkcijas, neesot ar DTSO funkcijas sistēmas piegādātāju noslēgtā līguma puse. Tas ir tāpēc, ka NETO līgumi ar diennakts sistēmas piegādātāju ietver punktus, kas nav DTSO funkcijas daļa, bet pilda PSO uzdevumus saskaņā ar CACM regulu (piemēram, JVM un PM), un PSO nav tos tieši parakstījuši. Saistītā līguma mērķis ir regulēt PSO piekļuvi DTSO funkcijai, kā arī sadarbību un informācijas apmaiņu elektroenerģijas biržu un PSO starpā un sadalīt atbildību, kas var rasties PSO darbību vai bezdarbības rezultātā. Saistītais līgums stājās spēkā 2015. gada martā. </w:t>
      </w:r>
    </w:p>
    <w:p w14:paraId="2930B71E" w14:textId="77777777" w:rsidR="00633996" w:rsidRPr="00CB4A63" w:rsidRDefault="00633996" w:rsidP="00633996">
      <w:pPr>
        <w:pStyle w:val="Sarakstarindkopa"/>
        <w:ind w:left="360"/>
        <w:jc w:val="both"/>
      </w:pPr>
    </w:p>
    <w:p w14:paraId="4CEDC43A" w14:textId="77777777" w:rsidR="00633996" w:rsidRPr="00CB4A63" w:rsidRDefault="00633996" w:rsidP="00174B30">
      <w:pPr>
        <w:pStyle w:val="Sarakstarindkopa"/>
        <w:numPr>
          <w:ilvl w:val="0"/>
          <w:numId w:val="89"/>
        </w:numPr>
      </w:pPr>
      <w:r>
        <w:t xml:space="preserve">Visiem DS izvirzītajiem NETO būs tiesības un tiem tiks pieprasīts pievienoties VPSL, NETO D darbības līgumam, diennakts darbības līgumam, kā arī līgumiem ar DTSO pakalpojumu nodrošinātājiem un DTSO funkcijas sistēmas piegādātāju.    </w:t>
      </w:r>
    </w:p>
    <w:p w14:paraId="588DC61A" w14:textId="77777777" w:rsidR="00633996" w:rsidRPr="00CB4A63" w:rsidRDefault="00633996" w:rsidP="00633996">
      <w:pPr>
        <w:pStyle w:val="Sarakstarindkopa"/>
        <w:ind w:left="360"/>
        <w:jc w:val="both"/>
      </w:pPr>
    </w:p>
    <w:p w14:paraId="51F5B5E6" w14:textId="77777777" w:rsidR="00633996" w:rsidRPr="00CB4A63" w:rsidRDefault="00633996" w:rsidP="00174B30">
      <w:pPr>
        <w:pStyle w:val="Sarakstarindkopa"/>
        <w:numPr>
          <w:ilvl w:val="0"/>
          <w:numId w:val="89"/>
        </w:numPr>
        <w:jc w:val="both"/>
      </w:pPr>
      <w:r>
        <w:t>Pirms palaišanas NETO jāizveido šāds līgumiskais regulējums, uz kura balstīsies NETO sadarbība DS nolūkā:</w:t>
      </w:r>
    </w:p>
    <w:p w14:paraId="5A502C51" w14:textId="77777777" w:rsidR="00633996" w:rsidRPr="00CB4A63" w:rsidRDefault="00633996" w:rsidP="00384080">
      <w:pPr>
        <w:pStyle w:val="Sarakstarindkopa"/>
        <w:numPr>
          <w:ilvl w:val="1"/>
          <w:numId w:val="29"/>
        </w:numPr>
        <w:jc w:val="both"/>
      </w:pPr>
      <w:r>
        <w:t>visu NETO sadarbības līgums;</w:t>
      </w:r>
    </w:p>
    <w:p w14:paraId="50C1119E" w14:textId="77777777" w:rsidR="00633996" w:rsidRPr="00CB4A63" w:rsidRDefault="00633996" w:rsidP="00384080">
      <w:pPr>
        <w:pStyle w:val="Sarakstarindkopa"/>
        <w:numPr>
          <w:ilvl w:val="1"/>
          <w:numId w:val="29"/>
        </w:numPr>
        <w:jc w:val="both"/>
      </w:pPr>
      <w:r>
        <w:t>NETO D darbības līgums visu NETO starpā, kas aizstāj EBSL;</w:t>
      </w:r>
    </w:p>
    <w:p w14:paraId="19CDAD59" w14:textId="77777777" w:rsidR="00633996" w:rsidRPr="00CB4A63" w:rsidRDefault="00633996" w:rsidP="00384080">
      <w:pPr>
        <w:pStyle w:val="Sarakstarindkopa"/>
        <w:numPr>
          <w:ilvl w:val="1"/>
          <w:numId w:val="29"/>
        </w:numPr>
        <w:jc w:val="both"/>
      </w:pPr>
      <w:r>
        <w:t>diennakts darbības līgums starp visiem NETO un PSO, kas aizstāj VPSL, un saistītais līgums;</w:t>
      </w:r>
    </w:p>
    <w:p w14:paraId="027FE5BC" w14:textId="77777777" w:rsidR="00633996" w:rsidRPr="00CB4A63" w:rsidRDefault="00633996" w:rsidP="00384080">
      <w:pPr>
        <w:pStyle w:val="Sarakstarindkopa"/>
        <w:numPr>
          <w:ilvl w:val="1"/>
          <w:numId w:val="29"/>
        </w:numPr>
        <w:jc w:val="both"/>
      </w:pPr>
      <w:r>
        <w:t>Līgumi ar DTSO funkcijas pakalpojumu nodrošinātājiem, tostarp DTSO funkcijas sistēmas piegādātāju, MPLS sakaru sistēmas piegādātāju un kolokācijas pakalpojumu nodrošinātāju.</w:t>
      </w:r>
    </w:p>
    <w:p w14:paraId="7F9D0BD3" w14:textId="77777777" w:rsidR="00633996" w:rsidRPr="00CB4A63" w:rsidRDefault="00633996" w:rsidP="00633996">
      <w:pPr>
        <w:pStyle w:val="Sarakstarindkopa"/>
        <w:ind w:left="1080"/>
        <w:jc w:val="both"/>
      </w:pPr>
    </w:p>
    <w:p w14:paraId="46DB9624" w14:textId="77777777" w:rsidR="00633996" w:rsidRPr="00CB4A63" w:rsidRDefault="00633996" w:rsidP="00174B30">
      <w:pPr>
        <w:pStyle w:val="Sarakstarindkopa"/>
        <w:numPr>
          <w:ilvl w:val="0"/>
          <w:numId w:val="89"/>
        </w:numPr>
        <w:jc w:val="both"/>
      </w:pPr>
      <w:r>
        <w:t>Visiem NETO un PSO jānoslēdz diennakts darbības līgums, kurā tiks noteikti NETO un PSO pienākumi DS darbības ietvaros. Tas ietvers saistīto līgums starp NETO un PSO, kas atspoguļos faktu, ka tikai NETO ir noslēguši līgumu ar DTSO funkcijas sistēmas piegādātāju, lai izstrādātu DTSO funkciju. Tas ir tāpēc, ka NETO līgumi ar diennakts sistēmas piegādātāju ietver punktus, kas nav DTSO funkcijas daļa, bet pilda PSO uzdevumus saskaņā ar CACM regulu (piemēram, JVM un PM), un PSO nav tos tieši parakstījuši. Saistītā līguma mērķis ir nodrošināt, lai PSO un to tiešie dalībnieki atbilstu diennakts sistēmas prasībām, kā arī regulēt atbildību, kas var izrietēt no PSO, to tiešo dalībnieku darbībām vai bezdarbības, kā arī diennakts sistēmas darbības un rezultātiem saistībā ar tās JVM un PM daļām, par kurām, kā tika izskaidrots, ir noslēgts līgums ar diennakts sistēmas piegādātāju, lai nodrošinātu pakalpojumu PSO.</w:t>
      </w:r>
    </w:p>
    <w:p w14:paraId="711BB0A0" w14:textId="77777777" w:rsidR="004370D2" w:rsidRPr="00CB4A63" w:rsidRDefault="004370D2" w:rsidP="00633996">
      <w:pPr>
        <w:pStyle w:val="Sarakstarindkopa"/>
      </w:pPr>
    </w:p>
    <w:p w14:paraId="4E53EA40" w14:textId="77777777" w:rsidR="00633996" w:rsidRPr="00CB4A63" w:rsidRDefault="00633996" w:rsidP="00174B30">
      <w:pPr>
        <w:pStyle w:val="Sarakstarindkopa"/>
        <w:numPr>
          <w:ilvl w:val="0"/>
          <w:numId w:val="89"/>
        </w:numPr>
        <w:jc w:val="both"/>
      </w:pPr>
      <w:r>
        <w:t xml:space="preserve">NETO plāno, ka visi DS izvirzītie NETO noslēgs diennakts darbības līgumu ar PSO līdz 2017. gada septembrim vai vismaz 3 mēnešus pirms tam, kad šāds NETO paredz funkcionāli pievienoties DTSO funkcijai. Visi DS izvirzītie NETO būs tiesīgi pievienoties diennakts darbības līgumam.  </w:t>
      </w:r>
    </w:p>
    <w:p w14:paraId="5422E2AD" w14:textId="77777777" w:rsidR="00633996" w:rsidRPr="00CB4A63" w:rsidRDefault="001F47CC" w:rsidP="001F47CC">
      <w:pPr>
        <w:pStyle w:val="Sarakstarindkopa"/>
        <w:numPr>
          <w:ilvl w:val="0"/>
          <w:numId w:val="89"/>
        </w:numPr>
        <w:spacing w:after="120"/>
        <w:jc w:val="both"/>
      </w:pPr>
      <w:r>
        <w:lastRenderedPageBreak/>
        <w:t xml:space="preserve">Lai varētu piedalīties DS, visiem DS īstenošanai izvirzītajiem NETO ir jāpievienojas NETO D darbības līgumam. NETO D darbības līguma pamatā jābūt EBSL. Galveno šī līguma noteikumu kopsavilkums atrodams šī TSO plāna 3. pielikumā. </w:t>
      </w:r>
    </w:p>
    <w:p w14:paraId="595EF2D1" w14:textId="77777777" w:rsidR="00633996" w:rsidRPr="00CB4A63" w:rsidRDefault="00633996" w:rsidP="00633996">
      <w:pPr>
        <w:pStyle w:val="Sarakstarindkopa"/>
        <w:ind w:left="360"/>
        <w:jc w:val="both"/>
      </w:pPr>
    </w:p>
    <w:p w14:paraId="2A963250" w14:textId="77777777" w:rsidR="00633996" w:rsidRPr="00CB4A63" w:rsidRDefault="00633996" w:rsidP="00174B30">
      <w:pPr>
        <w:pStyle w:val="Sarakstarindkopa"/>
        <w:numPr>
          <w:ilvl w:val="0"/>
          <w:numId w:val="89"/>
        </w:numPr>
        <w:jc w:val="both"/>
      </w:pPr>
      <w:r>
        <w:t xml:space="preserve">NETO D darbības līgums nosaka NETO sadarbību DTSO funkcijas uzdevumu izpildei saskaņā ar CACM regulas 7. pantu. Šis līgums regulēs NETO sadarbību attiecībā uz: </w:t>
      </w:r>
    </w:p>
    <w:p w14:paraId="5F15009A" w14:textId="77777777" w:rsidR="00633996" w:rsidRPr="00CB4A63" w:rsidRDefault="00633996" w:rsidP="00384080">
      <w:pPr>
        <w:pStyle w:val="Sarakstarindkopa"/>
        <w:numPr>
          <w:ilvl w:val="1"/>
          <w:numId w:val="30"/>
        </w:numPr>
        <w:jc w:val="both"/>
      </w:pPr>
      <w:r>
        <w:t>ikdienas DTSO funkcijas darbību pārvaldību;</w:t>
      </w:r>
    </w:p>
    <w:p w14:paraId="43C4F01B" w14:textId="77777777" w:rsidR="00633996" w:rsidRPr="00CB4A63" w:rsidRDefault="00633996" w:rsidP="00384080">
      <w:pPr>
        <w:pStyle w:val="Sarakstarindkopa"/>
        <w:numPr>
          <w:ilvl w:val="1"/>
          <w:numId w:val="30"/>
        </w:numPr>
        <w:jc w:val="both"/>
      </w:pPr>
      <w:r>
        <w:t>darbību atbildības un rezultātu pieņemšanas līgumsaistību pārvaldību;</w:t>
      </w:r>
    </w:p>
    <w:p w14:paraId="753C25AE" w14:textId="77777777" w:rsidR="00633996" w:rsidRPr="00CB4A63" w:rsidRDefault="00633996" w:rsidP="00384080">
      <w:pPr>
        <w:pStyle w:val="Sarakstarindkopa"/>
        <w:numPr>
          <w:ilvl w:val="1"/>
          <w:numId w:val="30"/>
        </w:numPr>
        <w:jc w:val="both"/>
      </w:pPr>
      <w:r>
        <w:t>noteikumiem dalībai struktūrās, kas izveidotas saskaņā ar līgumu;</w:t>
      </w:r>
    </w:p>
    <w:p w14:paraId="1F7E774E" w14:textId="77777777" w:rsidR="00633996" w:rsidRPr="00CB4A63" w:rsidRDefault="00633996" w:rsidP="00384080">
      <w:pPr>
        <w:pStyle w:val="Sarakstarindkopa"/>
        <w:numPr>
          <w:ilvl w:val="1"/>
          <w:numId w:val="30"/>
        </w:numPr>
        <w:jc w:val="both"/>
      </w:pPr>
      <w:r>
        <w:t>izmaksu ziņošanas pārvaldību;</w:t>
      </w:r>
    </w:p>
    <w:p w14:paraId="51B39ED0" w14:textId="77777777" w:rsidR="00633996" w:rsidRPr="00CB4A63" w:rsidRDefault="00633996" w:rsidP="00384080">
      <w:pPr>
        <w:pStyle w:val="Sarakstarindkopa"/>
        <w:numPr>
          <w:ilvl w:val="1"/>
          <w:numId w:val="30"/>
        </w:numPr>
        <w:jc w:val="both"/>
      </w:pPr>
      <w:r>
        <w:t>noteikumiem DTSO funkcijas sistēmas piegādātāja atlasei;</w:t>
      </w:r>
    </w:p>
    <w:p w14:paraId="72E0633B" w14:textId="77777777" w:rsidR="00633996" w:rsidRPr="00CB4A63" w:rsidRDefault="00633996" w:rsidP="00384080">
      <w:pPr>
        <w:pStyle w:val="Sarakstarindkopa"/>
        <w:numPr>
          <w:ilvl w:val="1"/>
          <w:numId w:val="30"/>
        </w:numPr>
        <w:jc w:val="both"/>
      </w:pPr>
      <w:r>
        <w:t>noteikumiem, saskaņā ar kuriem NETO rīkosies attiecībā pret DTSO funkcijas sistēmas piegādātāju;</w:t>
      </w:r>
    </w:p>
    <w:p w14:paraId="254BCE30" w14:textId="77777777" w:rsidR="00633996" w:rsidRPr="00CB4A63" w:rsidRDefault="00633996" w:rsidP="00384080">
      <w:pPr>
        <w:pStyle w:val="Sarakstarindkopa"/>
        <w:numPr>
          <w:ilvl w:val="1"/>
          <w:numId w:val="30"/>
        </w:numPr>
        <w:jc w:val="both"/>
      </w:pPr>
      <w:r>
        <w:t>noteikumiem, saskaņā ar kuriem NETO rīkosies attiecībā pret PSO visu iesaistīto NETO un iesaistīto PSO starpā parakstīto līgumu kontekstā DS nolūkā.</w:t>
      </w:r>
    </w:p>
    <w:p w14:paraId="6831D5BC" w14:textId="77777777" w:rsidR="00633996" w:rsidRPr="00CB4A63" w:rsidRDefault="00633996" w:rsidP="00633996">
      <w:pPr>
        <w:pStyle w:val="Sarakstarindkopa"/>
        <w:ind w:left="1080"/>
        <w:jc w:val="both"/>
      </w:pPr>
    </w:p>
    <w:p w14:paraId="5AE18661" w14:textId="77777777" w:rsidR="00633996" w:rsidRPr="00CB4A63" w:rsidRDefault="00633996" w:rsidP="00174B30">
      <w:pPr>
        <w:pStyle w:val="Sarakstarindkopa"/>
        <w:numPr>
          <w:ilvl w:val="0"/>
          <w:numId w:val="89"/>
        </w:numPr>
        <w:jc w:val="both"/>
      </w:pPr>
      <w:r>
        <w:t xml:space="preserve">NETO plāno, ka visi DS īstenošanai izvirzītie NETO pievienosies NETO D darbības līgumam līdz 2018. gada februārim. NETO D darbības līgumu var noslēgt pēc tam, kad DTSO funkcija sāk darboties ar atpakaļejošu spēku. </w:t>
      </w:r>
    </w:p>
    <w:p w14:paraId="18ED2576" w14:textId="77777777" w:rsidR="00633996" w:rsidRPr="00CB4A63" w:rsidRDefault="00633996" w:rsidP="00633996">
      <w:pPr>
        <w:pStyle w:val="Sarakstarindkopa"/>
        <w:ind w:left="360"/>
        <w:jc w:val="both"/>
      </w:pPr>
    </w:p>
    <w:p w14:paraId="5CC2DAC2" w14:textId="77777777" w:rsidR="00633996" w:rsidRPr="00CB4A63" w:rsidRDefault="00633996" w:rsidP="00174B30">
      <w:pPr>
        <w:pStyle w:val="Sarakstarindkopa"/>
        <w:numPr>
          <w:ilvl w:val="0"/>
          <w:numId w:val="89"/>
        </w:numPr>
        <w:jc w:val="both"/>
      </w:pPr>
      <w:r>
        <w:t xml:space="preserve">NETO D darbības līgums jāpapildina ar konkrētiem ar DTSO funkcijas pakalpojumu nodrošinātājiem noslēgtiem līgumiem DTSO funkcijas nodrošināšanai, kas jāparaksta visiem iesaistītajiem D NETO. Šie līgumi būs tie, ko pašlaik noslēguši vai ar D NETO apspriež DTSO funkcijas pakalpojumu nodrošinātāji. </w:t>
      </w:r>
    </w:p>
    <w:p w14:paraId="3A4F3BD7" w14:textId="77777777" w:rsidR="00633996" w:rsidRPr="00CB4A63" w:rsidRDefault="00633996" w:rsidP="00633996">
      <w:pPr>
        <w:pStyle w:val="Sarakstarindkopa"/>
      </w:pPr>
    </w:p>
    <w:p w14:paraId="0CB76826" w14:textId="77777777" w:rsidR="00633996" w:rsidRPr="00CB4A63" w:rsidRDefault="00633996" w:rsidP="00174B30">
      <w:pPr>
        <w:pStyle w:val="Sarakstarindkopa"/>
        <w:numPr>
          <w:ilvl w:val="0"/>
          <w:numId w:val="89"/>
        </w:numPr>
        <w:jc w:val="both"/>
      </w:pPr>
      <w:r>
        <w:t xml:space="preserve">Līgumi ar DTSO funkcijas sistēmas piegādātāju kā šos līgumus parakstījušo NETO pakalpojumu nodrošinātāju regulēs DTSO funkcijas izstrādi, izmantošanu, darbību un uzturēšanu. Līgumi ietvers pienākumus nodrošināt vienlīdzīgu attieksmi pret NETO un vienlīdzīgu konkurences apstākļu uzturēšanu tiem. </w:t>
      </w:r>
    </w:p>
    <w:p w14:paraId="73232064" w14:textId="77777777" w:rsidR="00633996" w:rsidRPr="00CB4A63" w:rsidRDefault="00633996" w:rsidP="00633996">
      <w:pPr>
        <w:pStyle w:val="Sarakstarindkopa"/>
      </w:pPr>
    </w:p>
    <w:p w14:paraId="259E8B13" w14:textId="77777777" w:rsidR="00633996" w:rsidRPr="00CB4A63" w:rsidRDefault="00633996" w:rsidP="00174B30">
      <w:pPr>
        <w:pStyle w:val="Sarakstarindkopa"/>
        <w:numPr>
          <w:ilvl w:val="0"/>
          <w:numId w:val="89"/>
        </w:numPr>
        <w:jc w:val="both"/>
      </w:pPr>
      <w:r>
        <w:t xml:space="preserve">NETO plāno, ka visi DS izvirzītie NETO laikus noslēgs līgumus ar DTSO funkcijas pakalpojumu nodrošinātājiem un DTSO funkcijas sistēmas piegādātāju pirms tam, kad šāds NETO paredz funkcionāli pievienoties DTSO funkcijai. </w:t>
      </w:r>
    </w:p>
    <w:p w14:paraId="4E4A1D5C" w14:textId="77777777" w:rsidR="00633996" w:rsidRPr="00CB4A63" w:rsidRDefault="00633996" w:rsidP="00764D9D">
      <w:pPr>
        <w:pStyle w:val="Virsraksts3"/>
      </w:pPr>
      <w:bookmarkStart w:id="70" w:name="_Toc479786217"/>
      <w:bookmarkStart w:id="71" w:name="_Toc484770696"/>
      <w:r>
        <w:t>Ar DTSO funkcijas ieviešanu saistītie tehniskie posmi</w:t>
      </w:r>
      <w:bookmarkEnd w:id="70"/>
      <w:bookmarkEnd w:id="71"/>
    </w:p>
    <w:p w14:paraId="0C553AE0" w14:textId="77777777" w:rsidR="00633996" w:rsidRPr="00CB4A63" w:rsidRDefault="00633996" w:rsidP="00384080">
      <w:pPr>
        <w:pStyle w:val="Sarakstarindkopa"/>
        <w:numPr>
          <w:ilvl w:val="0"/>
          <w:numId w:val="31"/>
        </w:numPr>
        <w:spacing w:after="120"/>
        <w:jc w:val="both"/>
      </w:pPr>
      <w:r>
        <w:t xml:space="preserve">Pēc diennakts risinājuma kā DTSO funkcijas pieņemšanas NETO jāpabeidz tālāk norādīto posmu izpilde, lai īstenotu DTSO funkciju. Tālāk norādītie posmi attiecas uz diennakts sistēmas ieviešanu, kuras daļa ir saistīta ar PSO funkcijām (piemēram, JVM un PM) un DTSO funkciju (KPR). </w:t>
      </w:r>
    </w:p>
    <w:p w14:paraId="3CC05ECB" w14:textId="77777777" w:rsidR="00633996" w:rsidRPr="00CB4A63" w:rsidRDefault="00633996" w:rsidP="00384080">
      <w:pPr>
        <w:pStyle w:val="Sarakstarindkopa"/>
        <w:numPr>
          <w:ilvl w:val="0"/>
          <w:numId w:val="31"/>
        </w:numPr>
        <w:jc w:val="both"/>
      </w:pPr>
      <w:r>
        <w:t>Ieviešanas termiņš paredz divas paralēlas darba plūsmas, lai varētu izstrādāt:</w:t>
      </w:r>
    </w:p>
    <w:p w14:paraId="3B016D29" w14:textId="77777777" w:rsidR="00633996" w:rsidRPr="00CB4A63" w:rsidRDefault="00633996" w:rsidP="00384080">
      <w:pPr>
        <w:pStyle w:val="Sarakstarindkopa"/>
        <w:numPr>
          <w:ilvl w:val="1"/>
          <w:numId w:val="31"/>
        </w:numPr>
        <w:jc w:val="both"/>
      </w:pPr>
      <w:r>
        <w:t xml:space="preserve">KPR un JVM; </w:t>
      </w:r>
    </w:p>
    <w:p w14:paraId="40C58873" w14:textId="77777777" w:rsidR="00633996" w:rsidRPr="00CB4A63" w:rsidRDefault="00633996" w:rsidP="00384080">
      <w:pPr>
        <w:pStyle w:val="Sarakstarindkopa"/>
        <w:numPr>
          <w:ilvl w:val="1"/>
          <w:numId w:val="31"/>
        </w:numPr>
        <w:jc w:val="both"/>
      </w:pPr>
      <w:r>
        <w:t xml:space="preserve">PM. </w:t>
      </w:r>
    </w:p>
    <w:p w14:paraId="75107359" w14:textId="77777777" w:rsidR="00633996" w:rsidRPr="00CB4A63" w:rsidRDefault="00633996" w:rsidP="00633996">
      <w:pPr>
        <w:pStyle w:val="Sarakstarindkopa"/>
        <w:ind w:left="426"/>
        <w:jc w:val="both"/>
      </w:pPr>
      <w:r>
        <w:t>Ieviešanas termiņš paredz abu darba plūsmu izlīdzināšanu pirms lietotāja akcepttesta sākšanas.</w:t>
      </w:r>
    </w:p>
    <w:p w14:paraId="132619CA" w14:textId="77777777" w:rsidR="00633996" w:rsidRPr="00CB4A63" w:rsidRDefault="00633996" w:rsidP="00384080">
      <w:pPr>
        <w:pStyle w:val="Sarakstarindkopa"/>
        <w:numPr>
          <w:ilvl w:val="0"/>
          <w:numId w:val="31"/>
        </w:numPr>
        <w:jc w:val="both"/>
      </w:pPr>
      <w:r>
        <w:t xml:space="preserve">Ieviešanas termiņš ir sadalīts posmos: </w:t>
      </w:r>
    </w:p>
    <w:p w14:paraId="37B828FC" w14:textId="77777777" w:rsidR="00633996" w:rsidRPr="00CB4A63" w:rsidRDefault="00633996" w:rsidP="00384080">
      <w:pPr>
        <w:pStyle w:val="Sarakstarindkopa"/>
        <w:numPr>
          <w:ilvl w:val="1"/>
          <w:numId w:val="31"/>
        </w:numPr>
        <w:jc w:val="both"/>
      </w:pPr>
      <w:r>
        <w:t xml:space="preserve">DTSO funkcijai nepieciešamās tehnoloģijas un IT sistēmu izstrādes posms – tika pabeigts 2016. gada februārī;  </w:t>
      </w:r>
    </w:p>
    <w:p w14:paraId="2F0913C7" w14:textId="77777777" w:rsidR="00633996" w:rsidRPr="00CB4A63" w:rsidRDefault="00633996" w:rsidP="00384080">
      <w:pPr>
        <w:pStyle w:val="Sarakstarindkopa"/>
        <w:numPr>
          <w:ilvl w:val="1"/>
          <w:numId w:val="31"/>
        </w:numPr>
        <w:jc w:val="both"/>
      </w:pPr>
      <w:r>
        <w:lastRenderedPageBreak/>
        <w:t>KPR un JVM pirmās versijas (funkcionālā un tehniskā darbības joma ir definēta izstrādes līgumā) pārbaudes posms (turpmāk – „pārbaudes posms”), kas ietver šādus posmus:</w:t>
      </w:r>
    </w:p>
    <w:p w14:paraId="0A489708" w14:textId="77777777" w:rsidR="00633996" w:rsidRPr="00CB4A63" w:rsidRDefault="00633996" w:rsidP="00384080">
      <w:pPr>
        <w:pStyle w:val="Sarakstarindkopa"/>
        <w:numPr>
          <w:ilvl w:val="2"/>
          <w:numId w:val="31"/>
        </w:numPr>
        <w:jc w:val="both"/>
      </w:pPr>
      <w:r>
        <w:t>izstrādātāja akcepttests ar NETO lomu pārraudzīšanu – tika veiksmīgi pabeigts 2016. gada maijā;</w:t>
      </w:r>
    </w:p>
    <w:p w14:paraId="1DD6CA4D" w14:textId="0248DE25" w:rsidR="00633996" w:rsidRPr="00CB4A63" w:rsidRDefault="00633996" w:rsidP="00384080">
      <w:pPr>
        <w:pStyle w:val="Sarakstarindkopa"/>
        <w:numPr>
          <w:ilvl w:val="2"/>
          <w:numId w:val="31"/>
        </w:numPr>
        <w:jc w:val="both"/>
      </w:pPr>
      <w:r>
        <w:t>integrācijas akcepttests, kurā NETO ir galvenā loma, jo tiem jānodrošina, ka LTS ir saderīgas ar DTSO funkciju – tika veiksmīgi pabeigts 2016. gada septembrī;</w:t>
      </w:r>
    </w:p>
    <w:p w14:paraId="541BAEE2" w14:textId="77777777" w:rsidR="00633996" w:rsidRPr="00CB4A63" w:rsidRDefault="00633996" w:rsidP="00384080">
      <w:pPr>
        <w:pStyle w:val="Sarakstarindkopa"/>
        <w:numPr>
          <w:ilvl w:val="2"/>
          <w:numId w:val="31"/>
        </w:numPr>
        <w:jc w:val="both"/>
      </w:pPr>
      <w:r>
        <w:t>lietotāja akcepttests, kurā NETO ir galvenā loma, jo tiem jāpārbauda visa DTSO funkcijas darbība un tehniskie parametri, kas atbilst pirmajai versijai un kas ietver šādus apakšposmus:</w:t>
      </w:r>
    </w:p>
    <w:p w14:paraId="4510F5CF" w14:textId="77777777" w:rsidR="00633996" w:rsidRPr="00CB4A63" w:rsidRDefault="00633996" w:rsidP="00384080">
      <w:pPr>
        <w:pStyle w:val="Sarakstarindkopa"/>
        <w:numPr>
          <w:ilvl w:val="3"/>
          <w:numId w:val="31"/>
        </w:numPr>
        <w:jc w:val="both"/>
      </w:pPr>
      <w:r>
        <w:t xml:space="preserve">funkcionālais tests visu funkcionālo prasību un konceptuālo principu pārbaudei, kas veicams trīs reizes – tika pabeigts 2017. gada februārī; </w:t>
      </w:r>
    </w:p>
    <w:p w14:paraId="36B2DAA5" w14:textId="77777777" w:rsidR="00633996" w:rsidRPr="00CB4A63" w:rsidRDefault="00633996" w:rsidP="00384080">
      <w:pPr>
        <w:pStyle w:val="Sarakstarindkopa"/>
        <w:numPr>
          <w:ilvl w:val="3"/>
          <w:numId w:val="31"/>
        </w:numPr>
        <w:jc w:val="both"/>
      </w:pPr>
      <w:r>
        <w:t>integrācijas tests visu DTSO funkcijas ārējo saskarņu pārbaudei, kas veicams trīs reizes – plānots pabeigt līdz 2017. gada aprīlim;</w:t>
      </w:r>
    </w:p>
    <w:p w14:paraId="067ABA9F" w14:textId="79E6A8EA" w:rsidR="00633996" w:rsidRPr="00CB4A63" w:rsidRDefault="00633996" w:rsidP="00384080">
      <w:pPr>
        <w:pStyle w:val="Sarakstarindkopa"/>
        <w:numPr>
          <w:ilvl w:val="3"/>
          <w:numId w:val="31"/>
        </w:numPr>
        <w:jc w:val="both"/>
      </w:pPr>
      <w:r>
        <w:t>ārkārtas plāna simulācija, lai pārbaudītu DTSO funkcijas sistēmas pirmās versijas izturību, stabilitāti un atkopšanu ārkārtas situācijas laikā un pēc tās, kad DTSO funkcijas sistēma ir sabojāta vai pazudusi; veicama vienu reizi – paredzēts pabeigt līdz 2017. gada jūnijam;</w:t>
      </w:r>
    </w:p>
    <w:p w14:paraId="2D560E99" w14:textId="77777777" w:rsidR="00633996" w:rsidRPr="00CB4A63" w:rsidRDefault="00633996" w:rsidP="00384080">
      <w:pPr>
        <w:pStyle w:val="Sarakstarindkopa"/>
        <w:numPr>
          <w:ilvl w:val="3"/>
          <w:numId w:val="31"/>
        </w:numPr>
        <w:jc w:val="both"/>
      </w:pPr>
      <w:r>
        <w:t>darbības tests, lai pārbaudītu, vai DTSO funkcijas sistēma spēj izturēt gan ilgstošu, gan maksimālu slodzi; veicams vienu reizi – paredzēts pabeigt līdz 2017. gada jūlijam;</w:t>
      </w:r>
    </w:p>
    <w:p w14:paraId="597ADD32" w14:textId="77777777" w:rsidR="00633996" w:rsidRPr="00CB4A63" w:rsidRDefault="00633996" w:rsidP="00384080">
      <w:pPr>
        <w:pStyle w:val="Sarakstarindkopa"/>
        <w:numPr>
          <w:ilvl w:val="3"/>
          <w:numId w:val="31"/>
        </w:numPr>
        <w:jc w:val="both"/>
      </w:pPr>
      <w:r>
        <w:t>simulācijas testi, lai pārbaudītu vai DTSO funkcija var izsekot visiem piemērojamiem darbības posma procesiem, koncentrējoties uz sistēmas tehniskajiem aspektiem; jāveic divas reizes – paredzēts pabeigt līdz 2017. gada augustam.</w:t>
      </w:r>
    </w:p>
    <w:p w14:paraId="5984AA4B" w14:textId="77777777" w:rsidR="00633996" w:rsidRPr="00CB4A63" w:rsidRDefault="00633996" w:rsidP="00384080">
      <w:pPr>
        <w:pStyle w:val="Sarakstarindkopa"/>
        <w:numPr>
          <w:ilvl w:val="1"/>
          <w:numId w:val="31"/>
        </w:numPr>
        <w:jc w:val="both"/>
      </w:pPr>
      <w:r>
        <w:t>PM testēšanas posmi ir līdzīgi iepriekšminētajiem, bet tie jāveic iesaistītajiem NETO un PSO, lai garantētu PM izstrādes kvalitāti – tika veiksmīgi pabeigti 2016. gada oktobrī. PM lietotāja akcepttesta posms ir identisks tam, kāds tas ir KPR un JVM.</w:t>
      </w:r>
    </w:p>
    <w:p w14:paraId="5185E4FF" w14:textId="77777777" w:rsidR="00654956" w:rsidRPr="00CB4A63" w:rsidRDefault="00654956" w:rsidP="00654956">
      <w:pPr>
        <w:pStyle w:val="Sarakstarindkopa"/>
        <w:numPr>
          <w:ilvl w:val="1"/>
          <w:numId w:val="31"/>
        </w:numPr>
        <w:jc w:val="both"/>
      </w:pPr>
      <w:r>
        <w:t>KPR, JVM un PM otrās versijas (funkcionālā un tehniskā darbības joma tiek pārvaldīta saskaņā ar uzturēšanas līgumu – uzlabots nosūtītājs, sistēmas pārraudzīšana, datu starpnieks) pārbaudes posms (turpmāk – „R1.2 pārbaudes posms”), kas ietver šādus posmus:</w:t>
      </w:r>
    </w:p>
    <w:p w14:paraId="18AEFE1B" w14:textId="77777777" w:rsidR="00654956" w:rsidRPr="00CB4A63" w:rsidRDefault="00654956" w:rsidP="00654956">
      <w:pPr>
        <w:pStyle w:val="Sarakstarindkopa"/>
        <w:numPr>
          <w:ilvl w:val="2"/>
          <w:numId w:val="31"/>
        </w:numPr>
        <w:jc w:val="both"/>
      </w:pPr>
      <w:r>
        <w:t>lietotāja akcepttests, kurā NETO ir galvenā loma, jo tiem jāpārbauda visa DTSO funkcijas darbība un tehniskie parametri; kas atbilst versijai 1.2 (DTSO funkcija R1.2) un kas ietver šādus apakšposmus:</w:t>
      </w:r>
    </w:p>
    <w:p w14:paraId="0C5701C4" w14:textId="77777777" w:rsidR="00654956" w:rsidRPr="00CB4A63" w:rsidRDefault="00654956" w:rsidP="00654956">
      <w:pPr>
        <w:pStyle w:val="Sarakstarindkopa"/>
        <w:numPr>
          <w:ilvl w:val="3"/>
          <w:numId w:val="31"/>
        </w:numPr>
        <w:jc w:val="both"/>
      </w:pPr>
      <w:r>
        <w:t>Kopējs funkcionālais un integrācijas tests, lai pārbaudītu visas DTSO funkcijas R1.2 funkcionālās prasības, konceptuālos principus un ārējās saskarnes – plānots pabeigt līdz 2017. gada augustam;</w:t>
      </w:r>
    </w:p>
    <w:p w14:paraId="00EB7946" w14:textId="77777777" w:rsidR="00654956" w:rsidRPr="00CB4A63" w:rsidRDefault="00654956" w:rsidP="00654956">
      <w:pPr>
        <w:pStyle w:val="Sarakstarindkopa"/>
        <w:numPr>
          <w:ilvl w:val="3"/>
          <w:numId w:val="31"/>
        </w:numPr>
        <w:jc w:val="both"/>
      </w:pPr>
      <w:r>
        <w:t>ārkārtas plāna simulācija, lai pārbaudītu DTSO funkcijas R1.2 sistēmas izturību, stabilitāti un atkopšanu ārkārtas situācijas laikā un pēc tās, kad DTSO funkcijas R1.2 sistēma ir sabojāta vai pazudusi; veicama vienu reizi – plānots pabeigt līdz 2017. gada augustam;</w:t>
      </w:r>
    </w:p>
    <w:p w14:paraId="64982754" w14:textId="77777777" w:rsidR="00654956" w:rsidRPr="00CB4A63" w:rsidRDefault="00654956" w:rsidP="00654956">
      <w:pPr>
        <w:pStyle w:val="Sarakstarindkopa"/>
        <w:numPr>
          <w:ilvl w:val="3"/>
          <w:numId w:val="31"/>
        </w:numPr>
        <w:jc w:val="both"/>
      </w:pPr>
      <w:r>
        <w:t>simulācijas testi, lai pārbaudītu, vai DTSO funkcija R1.2 var izsekot visiem piemērojamiem darbības posma procesiem, koncentrējoties uz sistēmas tehniskajiem aspektiem; jāveic divas reizes — tiks pabeigti līdz 2017. gada septembrim;</w:t>
      </w:r>
    </w:p>
    <w:p w14:paraId="3C29A47F" w14:textId="77777777" w:rsidR="00654956" w:rsidRPr="00CB4A63" w:rsidRDefault="00654956" w:rsidP="00654956">
      <w:pPr>
        <w:pStyle w:val="Sarakstarindkopa"/>
        <w:numPr>
          <w:ilvl w:val="3"/>
          <w:numId w:val="31"/>
        </w:numPr>
        <w:jc w:val="both"/>
      </w:pPr>
      <w:r>
        <w:lastRenderedPageBreak/>
        <w:t>darbības tests, lai pārbaudītu, vai DTSO funkcijas R1.2 sistēma spēj izturēt gan ilgstošu, gan maksimālu slodzi; veicams vienu reizi – plānots pabeigt līdz 2017. gada oktobrim;</w:t>
      </w:r>
    </w:p>
    <w:p w14:paraId="24987F6B" w14:textId="77777777" w:rsidR="00633996" w:rsidRPr="00CB4A63" w:rsidRDefault="00633996" w:rsidP="00384080">
      <w:pPr>
        <w:pStyle w:val="Sarakstarindkopa"/>
        <w:numPr>
          <w:ilvl w:val="1"/>
          <w:numId w:val="31"/>
        </w:numPr>
        <w:jc w:val="both"/>
      </w:pPr>
      <w:r>
        <w:t>Sagatavošanās palaišanai, lai nodrošinātu operatīvo darbinieku gatavību, DTSO funkcijas gatavību darbības posma uzsākšanai un LIP (tie nav šī TSO plāna daļa) gatavību:</w:t>
      </w:r>
    </w:p>
    <w:p w14:paraId="095CF933" w14:textId="77777777" w:rsidR="00633996" w:rsidRPr="00CB4A63" w:rsidRDefault="003956EE" w:rsidP="00384080">
      <w:pPr>
        <w:pStyle w:val="Sarakstarindkopa"/>
        <w:numPr>
          <w:ilvl w:val="2"/>
          <w:numId w:val="31"/>
        </w:numPr>
        <w:jc w:val="both"/>
      </w:pPr>
      <w:r>
        <w:t>sagatavošanās palaišanai uzsākšana ir atkarīga no veiksmīgas lietotāja akcepttestu pabeigšanas, darbības procedūru gatavības un operatīvo darbinieku apmācībām, līgumu ar TSO funkcijas sistēmas piegādātāju un DTSO funkcijas pakalpojumu nodrošinātājiem gatavības un diennakts darbības līguma starp NETO un PSO gatavības;</w:t>
      </w:r>
    </w:p>
    <w:p w14:paraId="4ED0DE63" w14:textId="77777777" w:rsidR="00633996" w:rsidRPr="00CB4A63" w:rsidRDefault="00633996" w:rsidP="00384080">
      <w:pPr>
        <w:pStyle w:val="Sarakstarindkopa"/>
        <w:numPr>
          <w:ilvl w:val="2"/>
          <w:numId w:val="31"/>
        </w:numPr>
        <w:jc w:val="both"/>
      </w:pPr>
      <w:r>
        <w:t xml:space="preserve">sagatavošanos palaišanai ir paredzēts pabeigt līdz 2018. gada martam saskaņā ar šī TSO plāna 5.2.4. punktā norādītajiem posmiem. </w:t>
      </w:r>
    </w:p>
    <w:p w14:paraId="3DF05308" w14:textId="77777777" w:rsidR="00633996" w:rsidRPr="00CB4A63" w:rsidRDefault="00633996" w:rsidP="00BF74D0">
      <w:pPr>
        <w:pStyle w:val="Sarakstarindkopa"/>
        <w:numPr>
          <w:ilvl w:val="0"/>
          <w:numId w:val="31"/>
        </w:numPr>
        <w:jc w:val="both"/>
      </w:pPr>
      <w:r>
        <w:t>Uz visām DTSO funkcijas sistēmas ieviešanas termiņa izmaiņām attiecas izmaiņu pārvaldības process, kas noteikts līgumos ar DTSO funkcijas sistēmas piegādātāju.</w:t>
      </w:r>
    </w:p>
    <w:p w14:paraId="47AE364B" w14:textId="77777777" w:rsidR="00633996" w:rsidRPr="00CB4A63" w:rsidRDefault="00633996" w:rsidP="00764D9D">
      <w:pPr>
        <w:pStyle w:val="Virsraksts3"/>
      </w:pPr>
      <w:bookmarkStart w:id="72" w:name="_Toc479786218"/>
      <w:bookmarkStart w:id="73" w:name="_Toc484770697"/>
      <w:r>
        <w:t>Ar DTSO funkcijas ieviešanu vietējā mērogā saistītie NETO posmi</w:t>
      </w:r>
      <w:bookmarkEnd w:id="72"/>
      <w:bookmarkEnd w:id="73"/>
      <w:r>
        <w:t xml:space="preserve"> </w:t>
      </w:r>
    </w:p>
    <w:p w14:paraId="0165B3AA" w14:textId="77777777" w:rsidR="00633996" w:rsidRPr="00CB4A63" w:rsidRDefault="00633996" w:rsidP="00174B30">
      <w:pPr>
        <w:pStyle w:val="Sarakstarindkopa"/>
        <w:numPr>
          <w:ilvl w:val="0"/>
          <w:numId w:val="93"/>
        </w:numPr>
        <w:jc w:val="both"/>
      </w:pPr>
      <w:r>
        <w:t>DTSO funkcijas ieviešana jāregulē reģionālajiem termiņiem, kas noteikti reģionālā mērogā un var atšķirties katram projektam. Tālāk izskaidroti NETO posmi funkcionālās gatavības nodrošināšanai:</w:t>
      </w:r>
    </w:p>
    <w:p w14:paraId="35AA411F" w14:textId="77777777" w:rsidR="00633996" w:rsidRPr="00CB4A63" w:rsidRDefault="00633996" w:rsidP="00384080">
      <w:pPr>
        <w:pStyle w:val="Sarakstarindkopa"/>
        <w:numPr>
          <w:ilvl w:val="1"/>
          <w:numId w:val="31"/>
        </w:numPr>
        <w:jc w:val="both"/>
      </w:pPr>
      <w:r>
        <w:t xml:space="preserve">NETO gatavība testēšanai, lai garantētu, ka katrs NETO ir izpildījis visas tehniskās un procedūru prasības saskaņotas testēšanas veikšanai. NETO ir jāpierāda gatavība veikt datu apmaiņu ar DTSO funkcijas sistēmu, izmantojot integrācijas akcepttestu, un DTSO funkcijai jāiziet lietotāja akcepttesta integrācijas testi;  </w:t>
      </w:r>
    </w:p>
    <w:p w14:paraId="5F911D39" w14:textId="77777777" w:rsidR="00633996" w:rsidRPr="00CB4A63" w:rsidRDefault="00633996" w:rsidP="00384080">
      <w:pPr>
        <w:pStyle w:val="Sarakstarindkopa"/>
        <w:numPr>
          <w:ilvl w:val="1"/>
          <w:numId w:val="31"/>
        </w:numPr>
        <w:jc w:val="both"/>
      </w:pPr>
      <w:r>
        <w:t xml:space="preserve">funkcionālā integrācijas testa pabeigšana, lai nodrošinātu, ka var veikt apmaiņu ar visiem DS ieviešanai noteiktā robežā nepieciešamajiem datiem starp pusēm (PSO un NETO) un ka visus uzņēmējdarbības procesus noteiktā robežā var veiksmīgi apstrādāt; </w:t>
      </w:r>
    </w:p>
    <w:p w14:paraId="5D1B0CA4" w14:textId="77777777" w:rsidR="00633996" w:rsidRPr="00CB4A63" w:rsidRDefault="00633996" w:rsidP="00384080">
      <w:pPr>
        <w:pStyle w:val="Sarakstarindkopa"/>
        <w:numPr>
          <w:ilvl w:val="1"/>
          <w:numId w:val="31"/>
        </w:numPr>
        <w:jc w:val="both"/>
      </w:pPr>
      <w:r>
        <w:t>simulācijas integrācijas testa pabeigšana, lai parādītu, ka visi nepārtrauktie uzņēmējdarbības procesi noteiktā robežā un kopā ar citām robežām ir pareizi apstrādāti;</w:t>
      </w:r>
    </w:p>
    <w:p w14:paraId="71C0CFDC" w14:textId="77777777" w:rsidR="00633996" w:rsidRPr="00CB4A63" w:rsidRDefault="00633996" w:rsidP="00384080">
      <w:pPr>
        <w:pStyle w:val="Sarakstarindkopa"/>
        <w:numPr>
          <w:ilvl w:val="1"/>
          <w:numId w:val="31"/>
        </w:numPr>
        <w:jc w:val="both"/>
      </w:pPr>
      <w:r>
        <w:t>oficiālais palaišanas gatavības apstiprinājums, lai apstiprinātu pilnīgu NETO gatavību.</w:t>
      </w:r>
    </w:p>
    <w:p w14:paraId="0CF3146D" w14:textId="77777777" w:rsidR="006473A6" w:rsidRPr="00CB4A63" w:rsidRDefault="003D157A" w:rsidP="00174B30">
      <w:pPr>
        <w:pStyle w:val="Sarakstarindkopa"/>
        <w:numPr>
          <w:ilvl w:val="0"/>
          <w:numId w:val="93"/>
        </w:numPr>
        <w:jc w:val="both"/>
      </w:pPr>
      <w:r>
        <w:t xml:space="preserve">Paredzēts, ka pirmā vietējā DTSO funkcijas ieviešana būs funkcionāla no 2018. gada marta. NETO, kas nav funkcionāli gatavi 5.2.3. un 5.2.4. punktā norādītajā termiņā, pēc iespējas drīzāk pievienosies tam pašam procesam ar mērķi nodrošināt NETO gatavību. </w:t>
      </w:r>
    </w:p>
    <w:p w14:paraId="6463437B" w14:textId="77777777" w:rsidR="00BD3DF1" w:rsidRPr="00CB4A63" w:rsidRDefault="00BD3DF1" w:rsidP="00BD3DF1">
      <w:pPr>
        <w:pStyle w:val="Sarakstarindkopa"/>
        <w:ind w:left="360"/>
        <w:jc w:val="both"/>
      </w:pPr>
    </w:p>
    <w:p w14:paraId="4F20B421" w14:textId="77777777" w:rsidR="001D2A2A" w:rsidRPr="00CB4A63" w:rsidRDefault="00F70C9B" w:rsidP="00174B30">
      <w:pPr>
        <w:pStyle w:val="Sarakstarindkopa"/>
        <w:numPr>
          <w:ilvl w:val="0"/>
          <w:numId w:val="93"/>
        </w:numPr>
        <w:jc w:val="both"/>
      </w:pPr>
      <w:r>
        <w:t xml:space="preserve">Diennakts sasaiste tiks īstenota ar lokālo ieviešanas projektu (LIP) palīdzību. LIP ir valsts un/vai reģiona mērogā, tāpēc tie nav šī TSO plāna daļa. Tomēr, lai pievienotos diennakts sasaistes darbībām, LIP ir jābūt pabeigtam. </w:t>
      </w:r>
    </w:p>
    <w:p w14:paraId="34AB25CA" w14:textId="77777777" w:rsidR="00B8208F" w:rsidRPr="00CB4A63" w:rsidRDefault="00B8208F" w:rsidP="00B8208F">
      <w:pPr>
        <w:pStyle w:val="Sarakstarindkopa"/>
        <w:ind w:left="360"/>
        <w:jc w:val="both"/>
      </w:pPr>
    </w:p>
    <w:p w14:paraId="24D57B05" w14:textId="77777777" w:rsidR="00335618" w:rsidRPr="00CB4A63" w:rsidRDefault="00335618" w:rsidP="00174B30">
      <w:pPr>
        <w:pStyle w:val="Sarakstarindkopa"/>
        <w:numPr>
          <w:ilvl w:val="0"/>
          <w:numId w:val="93"/>
        </w:numPr>
        <w:jc w:val="both"/>
      </w:pPr>
      <w:r>
        <w:t>Lai ieviestu diennakts sasaisti, NETO jānoslēdz vietējie, reģionālie vai Eiropas mēroga līgumi ar PSO, lai pārvaldītu procesus pirms un pēc sasaistes, tostarp nepieciešamības gadījumā – vairāku NETO līgumus saskaņā ar CACM regulas 57. pantu.  Šādu vietējo līgumu īstenošana, tostarp pirms sasaistes un pēc sasaistes, ir kopīga attiecīgo PSO un NETO atbildība, un tā ir ārpus TSO plāna darbības jomas.</w:t>
      </w:r>
    </w:p>
    <w:p w14:paraId="2CDD30FB" w14:textId="77777777" w:rsidR="001D2A2A" w:rsidRPr="00CB4A63" w:rsidRDefault="001D2A2A" w:rsidP="00BB67B3">
      <w:pPr>
        <w:pStyle w:val="Sarakstarindkopa"/>
        <w:ind w:left="360"/>
        <w:jc w:val="both"/>
      </w:pPr>
    </w:p>
    <w:p w14:paraId="3CACCF92" w14:textId="77777777" w:rsidR="004B0EC9" w:rsidRPr="00CB4A63" w:rsidRDefault="004B0EC9" w:rsidP="00D15A48">
      <w:pPr>
        <w:jc w:val="both"/>
      </w:pPr>
    </w:p>
    <w:p w14:paraId="4CA3EB54" w14:textId="77777777" w:rsidR="00015460" w:rsidRPr="00CB4A63" w:rsidRDefault="00015460">
      <w:pPr>
        <w:spacing w:after="160" w:line="259" w:lineRule="auto"/>
        <w:rPr>
          <w:rFonts w:asciiTheme="majorHAnsi" w:eastAsiaTheme="majorEastAsia" w:hAnsiTheme="majorHAnsi" w:cstheme="majorBidi"/>
          <w:b/>
          <w:bCs/>
          <w:color w:val="2E74B5" w:themeColor="accent1" w:themeShade="BF"/>
          <w:sz w:val="28"/>
          <w:szCs w:val="28"/>
        </w:rPr>
      </w:pPr>
      <w:r>
        <w:br w:type="page"/>
      </w:r>
    </w:p>
    <w:p w14:paraId="4787E6CF" w14:textId="77777777" w:rsidR="00DF1A2A" w:rsidRPr="00CB4A63" w:rsidRDefault="00D15A48" w:rsidP="00DF1A2A">
      <w:pPr>
        <w:pStyle w:val="Virsraksts1"/>
      </w:pPr>
      <w:bookmarkStart w:id="74" w:name="_Toc479786219"/>
      <w:bookmarkStart w:id="75" w:name="_Toc484770698"/>
      <w:r>
        <w:lastRenderedPageBreak/>
        <w:t>SADARBĪBA NĀKAMĀS DIENAS TIRGŪ</w:t>
      </w:r>
      <w:bookmarkEnd w:id="74"/>
      <w:bookmarkEnd w:id="75"/>
      <w:r>
        <w:t xml:space="preserve"> </w:t>
      </w:r>
    </w:p>
    <w:p w14:paraId="43AE5F40" w14:textId="77777777" w:rsidR="006C7577" w:rsidRPr="00CB4A63" w:rsidRDefault="006C7577" w:rsidP="006C7577">
      <w:pPr>
        <w:pStyle w:val="Virsraksts2"/>
        <w:ind w:left="567" w:hanging="567"/>
      </w:pPr>
      <w:bookmarkStart w:id="76" w:name="_Toc444699145"/>
      <w:bookmarkStart w:id="77" w:name="_Toc444849221"/>
      <w:bookmarkStart w:id="78" w:name="_Toc445917281"/>
      <w:bookmarkStart w:id="79" w:name="_Toc479786220"/>
      <w:bookmarkStart w:id="80" w:name="_Toc484770699"/>
      <w:r>
        <w:t>ND TSO funkcijas apraksts</w:t>
      </w:r>
      <w:bookmarkEnd w:id="76"/>
      <w:bookmarkEnd w:id="77"/>
      <w:bookmarkEnd w:id="78"/>
      <w:bookmarkEnd w:id="79"/>
      <w:bookmarkEnd w:id="80"/>
    </w:p>
    <w:p w14:paraId="1389021B" w14:textId="77777777" w:rsidR="006C7577" w:rsidRPr="00CB4A63" w:rsidRDefault="006C7577" w:rsidP="00764D9D">
      <w:pPr>
        <w:pStyle w:val="Virsraksts3"/>
      </w:pPr>
      <w:bookmarkStart w:id="81" w:name="_Toc479786221"/>
      <w:bookmarkStart w:id="82" w:name="_Toc484770700"/>
      <w:bookmarkStart w:id="83" w:name="_Ref437525881"/>
      <w:bookmarkStart w:id="84" w:name="_Toc444096101"/>
      <w:bookmarkStart w:id="85" w:name="_Toc444699146"/>
      <w:bookmarkStart w:id="86" w:name="_Toc444849222"/>
      <w:bookmarkStart w:id="87" w:name="_Toc445917282"/>
      <w:r>
        <w:t>Darbība</w:t>
      </w:r>
      <w:bookmarkEnd w:id="81"/>
      <w:bookmarkEnd w:id="82"/>
      <w:r>
        <w:t xml:space="preserve"> </w:t>
      </w:r>
      <w:bookmarkEnd w:id="83"/>
      <w:bookmarkEnd w:id="84"/>
      <w:bookmarkEnd w:id="85"/>
      <w:bookmarkEnd w:id="86"/>
      <w:bookmarkEnd w:id="87"/>
    </w:p>
    <w:p w14:paraId="0A226FD9" w14:textId="77777777" w:rsidR="006C7577" w:rsidRPr="00CB4A63" w:rsidRDefault="006C7577" w:rsidP="00384080">
      <w:pPr>
        <w:pStyle w:val="Sarakstarindkopa"/>
        <w:numPr>
          <w:ilvl w:val="0"/>
          <w:numId w:val="17"/>
        </w:numPr>
        <w:jc w:val="both"/>
        <w:rPr>
          <w:rFonts w:eastAsia="Times New Roman"/>
        </w:rPr>
      </w:pPr>
      <w:r>
        <w:t>Cenu sasaistes algoritms darbojas decentralizēti, un tā pamatā jābūt šādiem principiem:</w:t>
      </w:r>
    </w:p>
    <w:p w14:paraId="6629877C" w14:textId="77777777" w:rsidR="006C7577" w:rsidRPr="00CB4A63" w:rsidRDefault="006C7577" w:rsidP="00174B30">
      <w:pPr>
        <w:pStyle w:val="Sarakstarindkopa"/>
        <w:numPr>
          <w:ilvl w:val="0"/>
          <w:numId w:val="90"/>
        </w:numPr>
        <w:jc w:val="both"/>
      </w:pPr>
      <w:r>
        <w:t>viens atsevišķs algoritms;</w:t>
      </w:r>
    </w:p>
    <w:p w14:paraId="623F8DF7" w14:textId="77777777" w:rsidR="006C7577" w:rsidRPr="00CB4A63" w:rsidRDefault="006C7577" w:rsidP="00174B30">
      <w:pPr>
        <w:pStyle w:val="Sarakstarindkopa"/>
        <w:numPr>
          <w:ilvl w:val="0"/>
          <w:numId w:val="90"/>
        </w:numPr>
        <w:jc w:val="both"/>
      </w:pPr>
      <w:r>
        <w:t>viens atsevišķs ievades datu kopums visā sasaistes zonā;</w:t>
      </w:r>
    </w:p>
    <w:p w14:paraId="3B36287A" w14:textId="77777777" w:rsidR="006C7577" w:rsidRPr="00CB4A63" w:rsidRDefault="006C7577" w:rsidP="00174B30">
      <w:pPr>
        <w:pStyle w:val="Sarakstarindkopa"/>
        <w:numPr>
          <w:ilvl w:val="0"/>
          <w:numId w:val="90"/>
        </w:numPr>
        <w:jc w:val="both"/>
      </w:pPr>
      <w:r>
        <w:t>vienam atsevišķs rezultātu kopums visā sasaistes zonā;</w:t>
      </w:r>
    </w:p>
    <w:p w14:paraId="27BBB1CE" w14:textId="77777777" w:rsidR="006C7577" w:rsidRPr="00CB4A63" w:rsidRDefault="006C7577" w:rsidP="00174B30">
      <w:pPr>
        <w:pStyle w:val="Sarakstarindkopa"/>
        <w:numPr>
          <w:ilvl w:val="0"/>
          <w:numId w:val="90"/>
        </w:numPr>
        <w:jc w:val="both"/>
      </w:pPr>
      <w:r>
        <w:t>katrs NETO sagatavo un apkopo algoritma ievades dati vienotā formātā un saskaņā ar vietējiem noteikumiem un/vai tirgus līgumiem;</w:t>
      </w:r>
    </w:p>
    <w:p w14:paraId="66A0EB60" w14:textId="77777777" w:rsidR="006C7577" w:rsidRPr="00CB4A63" w:rsidRDefault="00F37B06" w:rsidP="00174B30">
      <w:pPr>
        <w:pStyle w:val="Sarakstarindkopa"/>
        <w:numPr>
          <w:ilvl w:val="0"/>
          <w:numId w:val="90"/>
        </w:numPr>
        <w:jc w:val="both"/>
      </w:pPr>
      <w:r>
        <w:t>atbildību par ievades datu saturu uzliek attiecīgajam ievades datu nodrošinātājam (PSO vai tirgus dalībniekam) saskaņā ar vietējiem noteikumiem un/vai tirgus līgumiem;</w:t>
      </w:r>
    </w:p>
    <w:p w14:paraId="46729CEA" w14:textId="77777777" w:rsidR="006C7577" w:rsidRPr="00CB4A63" w:rsidRDefault="006C7577" w:rsidP="00174B30">
      <w:pPr>
        <w:pStyle w:val="Sarakstarindkopa"/>
        <w:numPr>
          <w:ilvl w:val="0"/>
          <w:numId w:val="90"/>
        </w:numPr>
        <w:jc w:val="both"/>
      </w:pPr>
      <w:r>
        <w:t>pilnīgo ievades datu failu saņem koordinators / koordinatora vietnieks un visi operatori (anonimizētā veidā). Tas nodrošina procesa pārredzamību, jo visas puses garantē, ka ND TSO rezultātu aprēķināšanas procesā tiek izmantoti tie paši ievades dati;</w:t>
      </w:r>
    </w:p>
    <w:p w14:paraId="35FA8B16" w14:textId="77777777" w:rsidR="00A10ED6" w:rsidRPr="00CB4A63" w:rsidRDefault="00A10ED6" w:rsidP="00174B30">
      <w:pPr>
        <w:pStyle w:val="Sarakstarindkopa"/>
        <w:numPr>
          <w:ilvl w:val="0"/>
          <w:numId w:val="90"/>
        </w:numPr>
        <w:jc w:val="both"/>
      </w:pPr>
      <w:r>
        <w:t>katram operatoram ir iespēja aprēķināt rezultātus paralēli;</w:t>
      </w:r>
    </w:p>
    <w:p w14:paraId="67B688CE" w14:textId="77777777" w:rsidR="006C7577" w:rsidRPr="00CB4A63" w:rsidRDefault="006C7577" w:rsidP="00174B30">
      <w:pPr>
        <w:pStyle w:val="Sarakstarindkopa"/>
        <w:numPr>
          <w:ilvl w:val="0"/>
          <w:numId w:val="90"/>
        </w:numPr>
        <w:jc w:val="both"/>
      </w:pPr>
      <w:r>
        <w:t>atsevišķos ND TSO procesa rezultātus, pirms tos beidzot apstiprina katrs NETO, saskaņā ar vietējiem noteikumiem un/vai tirgus līgumiem apstiprina un pieņem katra atbildīgā puse (PSO un/vai tirgus dalībnieks);</w:t>
      </w:r>
    </w:p>
    <w:p w14:paraId="60AB416B" w14:textId="77777777" w:rsidR="00A10ED6" w:rsidRPr="00CB4A63" w:rsidRDefault="00E8400B" w:rsidP="00174B30">
      <w:pPr>
        <w:pStyle w:val="Sarakstarindkopa"/>
        <w:numPr>
          <w:ilvl w:val="0"/>
          <w:numId w:val="90"/>
        </w:numPr>
        <w:jc w:val="both"/>
      </w:pPr>
      <w:r>
        <w:t>katrs NETO atbild (decentralizēti) par tā rezultātiem, jo katram NETO ir iespēja (tieši vai ar tā apkalpojošā NETO starpniecību) apstiprināt savus rezultātus. Apkalpojošais NETO var apstiprināšanas nolūkā (tostarp, lai gūtu apstiprinājumu no katras atbildīgās puses (PSO un/vai tirgus dalībnieka) saskaņā ar vietējiem noteikumiem un/vai tirgus līgumiem) dalīties attiecīgajos ND TSO funkcijas rezultātos ar apkalpoto NETO;</w:t>
      </w:r>
    </w:p>
    <w:p w14:paraId="24F98602" w14:textId="77777777" w:rsidR="006C7577" w:rsidRPr="00CB4A63" w:rsidRDefault="006C7577" w:rsidP="00174B30">
      <w:pPr>
        <w:pStyle w:val="Sarakstarindkopa"/>
        <w:numPr>
          <w:ilvl w:val="0"/>
          <w:numId w:val="90"/>
        </w:numPr>
        <w:jc w:val="both"/>
      </w:pPr>
      <w:r>
        <w:t>tiklīdz visi NETO beidzot ir pieņēmuši rezultātus (tieši vai ar apkalpojošā NETO starpniecību) tie ir pilnībā nemaināmi, un neviens NETO nevar apstrīdēt pieņemtos rezultātus vai iesniegt pretenzijas pret citiem NETO, tostarp koordinatoru;</w:t>
      </w:r>
    </w:p>
    <w:p w14:paraId="1396AFEE" w14:textId="77777777" w:rsidR="001140C8" w:rsidRPr="00CB4A63" w:rsidRDefault="0062627E" w:rsidP="00174B30">
      <w:pPr>
        <w:pStyle w:val="Sarakstarindkopa"/>
        <w:numPr>
          <w:ilvl w:val="0"/>
          <w:numId w:val="90"/>
        </w:numPr>
        <w:jc w:val="both"/>
      </w:pPr>
      <w:r>
        <w:t>ND TSO rezultāti ir atkārtojami un pārbaudāmi.</w:t>
      </w:r>
    </w:p>
    <w:p w14:paraId="16E7EF97" w14:textId="77777777" w:rsidR="006C7577" w:rsidRPr="00CB4A63" w:rsidRDefault="006C7577" w:rsidP="00764D9D">
      <w:pPr>
        <w:pStyle w:val="Virsraksts3"/>
      </w:pPr>
      <w:bookmarkStart w:id="88" w:name="_Toc445917283"/>
      <w:bookmarkStart w:id="89" w:name="_Toc479786222"/>
      <w:bookmarkStart w:id="90" w:name="_Toc484770701"/>
      <w:r>
        <w:t>NETO operatīvās lomas</w:t>
      </w:r>
      <w:bookmarkEnd w:id="88"/>
      <w:bookmarkEnd w:id="89"/>
      <w:bookmarkEnd w:id="90"/>
      <w:r>
        <w:t xml:space="preserve"> </w:t>
      </w:r>
    </w:p>
    <w:p w14:paraId="5ADF3B30" w14:textId="77777777" w:rsidR="006C7577" w:rsidRPr="00CB4A63" w:rsidRDefault="006C7577" w:rsidP="00384080">
      <w:pPr>
        <w:pStyle w:val="Sarakstarindkopa"/>
        <w:numPr>
          <w:ilvl w:val="0"/>
          <w:numId w:val="8"/>
        </w:numPr>
        <w:spacing w:after="120"/>
        <w:jc w:val="both"/>
      </w:pPr>
      <w:r>
        <w:t>Lomas, principi un noteikumi saistībā ar NETO operatīvo lomu izpildi, tostarp ND TSO funkcijas izpildi, tiks noteiktas NETO ND darbības līgumā.</w:t>
      </w:r>
    </w:p>
    <w:p w14:paraId="40EE7748" w14:textId="77777777" w:rsidR="00F554AD" w:rsidRPr="00CB4A63" w:rsidRDefault="00F554AD" w:rsidP="002F6586">
      <w:pPr>
        <w:pStyle w:val="Sarakstarindkopa"/>
        <w:spacing w:after="120"/>
        <w:ind w:left="360"/>
        <w:jc w:val="both"/>
      </w:pPr>
    </w:p>
    <w:p w14:paraId="1762CCA4" w14:textId="77777777" w:rsidR="00F554AD" w:rsidRPr="00CB4A63" w:rsidRDefault="00F554AD" w:rsidP="00384080">
      <w:pPr>
        <w:pStyle w:val="Sarakstarindkopa"/>
        <w:numPr>
          <w:ilvl w:val="0"/>
          <w:numId w:val="8"/>
        </w:numPr>
        <w:spacing w:after="120"/>
        <w:jc w:val="both"/>
      </w:pPr>
      <w:r>
        <w:t>Tajā NDS izraudzītajiem NETO jāietver šādas trīs iespējas, lai kļūtu par funkcionālu NDS NETO:</w:t>
      </w:r>
    </w:p>
    <w:p w14:paraId="44516DFE" w14:textId="7B4F8AC2" w:rsidR="002F6586" w:rsidRPr="00CB4A63" w:rsidRDefault="002F6586" w:rsidP="002F6586">
      <w:pPr>
        <w:pStyle w:val="Sarakstarindkopa"/>
        <w:numPr>
          <w:ilvl w:val="1"/>
          <w:numId w:val="8"/>
        </w:numPr>
        <w:spacing w:after="120"/>
        <w:jc w:val="both"/>
      </w:pPr>
      <w:r>
        <w:t>Kā ND TSO funkcijas līdzekļu līdzīpašnieks;</w:t>
      </w:r>
    </w:p>
    <w:p w14:paraId="02F58EE1" w14:textId="3DA0B0DC" w:rsidR="002F6586" w:rsidRPr="00CB4A63" w:rsidRDefault="002F6586" w:rsidP="002F6586">
      <w:pPr>
        <w:pStyle w:val="Sarakstarindkopa"/>
        <w:numPr>
          <w:ilvl w:val="1"/>
          <w:numId w:val="8"/>
        </w:numPr>
        <w:spacing w:after="120"/>
        <w:jc w:val="both"/>
      </w:pPr>
      <w:r>
        <w:t>Kā ND TSO funkcijas līdzekļu licenciāts;</w:t>
      </w:r>
    </w:p>
    <w:p w14:paraId="21770CE8" w14:textId="77777777" w:rsidR="00273C1F" w:rsidRPr="00CB4A63" w:rsidRDefault="002F6586" w:rsidP="00273C1F">
      <w:pPr>
        <w:pStyle w:val="Sarakstarindkopa"/>
        <w:numPr>
          <w:ilvl w:val="1"/>
          <w:numId w:val="8"/>
        </w:numPr>
        <w:spacing w:after="120"/>
        <w:jc w:val="both"/>
      </w:pPr>
      <w:r>
        <w:t>kā apkalpotais NETO.</w:t>
      </w:r>
    </w:p>
    <w:p w14:paraId="6F36D87A" w14:textId="77777777" w:rsidR="00273C1F" w:rsidRPr="00CB4A63" w:rsidRDefault="00273C1F" w:rsidP="005C25F5">
      <w:pPr>
        <w:pStyle w:val="Sarakstarindkopa"/>
        <w:spacing w:after="120"/>
        <w:ind w:left="1080"/>
        <w:jc w:val="both"/>
      </w:pPr>
    </w:p>
    <w:p w14:paraId="261BBA01" w14:textId="77777777" w:rsidR="00273C1F" w:rsidRPr="00CB4A63" w:rsidRDefault="00273C1F" w:rsidP="005C25F5">
      <w:pPr>
        <w:pStyle w:val="Sarakstarindkopa"/>
        <w:numPr>
          <w:ilvl w:val="0"/>
          <w:numId w:val="8"/>
        </w:numPr>
        <w:spacing w:after="120"/>
        <w:jc w:val="both"/>
      </w:pPr>
      <w:r>
        <w:t xml:space="preserve">Šīs iespējas NETO kļūt par funkcionējošu NDS NETO tiks izstrādātas un ieviestas atbilstoši CACM regulas prasībām. </w:t>
      </w:r>
    </w:p>
    <w:p w14:paraId="10BB919B" w14:textId="77777777" w:rsidR="000D3A9A" w:rsidRPr="00CB4A63" w:rsidRDefault="0062627E" w:rsidP="00384080">
      <w:pPr>
        <w:pStyle w:val="Sarakstarindkopa"/>
        <w:numPr>
          <w:ilvl w:val="0"/>
          <w:numId w:val="8"/>
        </w:numPr>
        <w:spacing w:after="120"/>
        <w:jc w:val="both"/>
      </w:pPr>
      <w:r>
        <w:t xml:space="preserve">Attiecībā uz ND TSO funkciju funkcionējošiem NETO jāpilda viena no šīm lomām: </w:t>
      </w:r>
    </w:p>
    <w:p w14:paraId="06CDA79A" w14:textId="77777777" w:rsidR="006F1A95" w:rsidRPr="00CB4A63" w:rsidRDefault="006C7577" w:rsidP="00384080">
      <w:pPr>
        <w:pStyle w:val="Sarakstarindkopa"/>
        <w:numPr>
          <w:ilvl w:val="0"/>
          <w:numId w:val="23"/>
        </w:numPr>
        <w:jc w:val="both"/>
      </w:pPr>
      <w:r>
        <w:t xml:space="preserve">koordinators vai koordinatora vietnieks, kura pienākumi ir aprakstīti tālāk 6.1.2.1. punktā; </w:t>
      </w:r>
    </w:p>
    <w:p w14:paraId="1AA36C94" w14:textId="77777777" w:rsidR="006F1A95" w:rsidRPr="00CB4A63" w:rsidRDefault="006C7577" w:rsidP="00384080">
      <w:pPr>
        <w:pStyle w:val="Sarakstarindkopa"/>
        <w:numPr>
          <w:ilvl w:val="0"/>
          <w:numId w:val="23"/>
        </w:numPr>
        <w:jc w:val="both"/>
      </w:pPr>
      <w:r>
        <w:t>operators, kura pienākumi ir aprakstīti tālāk norādītajā 6.1.2.2. punktā;</w:t>
      </w:r>
    </w:p>
    <w:p w14:paraId="0A8934FF" w14:textId="77777777" w:rsidR="006C7577" w:rsidRPr="00CB4A63" w:rsidRDefault="006C7577" w:rsidP="006C7577">
      <w:pPr>
        <w:pStyle w:val="Sarakstarindkopa"/>
        <w:spacing w:after="120"/>
        <w:ind w:left="360"/>
        <w:jc w:val="both"/>
      </w:pPr>
    </w:p>
    <w:p w14:paraId="4CC2DC33" w14:textId="77777777" w:rsidR="00311243" w:rsidRPr="00CB4A63" w:rsidRDefault="00A13DBE" w:rsidP="00384080">
      <w:pPr>
        <w:pStyle w:val="Sarakstarindkopa"/>
        <w:numPr>
          <w:ilvl w:val="0"/>
          <w:numId w:val="8"/>
        </w:numPr>
        <w:spacing w:after="120"/>
        <w:jc w:val="both"/>
      </w:pPr>
      <w:r>
        <w:lastRenderedPageBreak/>
        <w:t xml:space="preserve">Lai veiktu ikdienas darbības, viens NETO tiek izvirzīts kā koordinators, un viens NETO tiek izvirzīts kā koordinatora vietnieks. Koordinatora vietnieks pārrauga NETO, kas darbojas kā koordinators, un vienmēr ir gatavs jebkurā brīdī pārņemt koordinatora lomu, ja koordinatora darbībās rodas kāda problēma (turpmāk – „ārkārtas vietnieks”). Visi citi operatori var paralēli veikt tos pašus procesus un nepieciešamības gadījumā pārņemt koordinatora lomu (turpmāk – „parastais vietnieks”). </w:t>
      </w:r>
    </w:p>
    <w:p w14:paraId="6A8667E4" w14:textId="77777777" w:rsidR="006F1A95" w:rsidRPr="00CB4A63" w:rsidRDefault="006F1A95" w:rsidP="00311243">
      <w:pPr>
        <w:pStyle w:val="Sarakstarindkopa"/>
        <w:spacing w:after="120"/>
        <w:ind w:left="360"/>
        <w:jc w:val="both"/>
      </w:pPr>
    </w:p>
    <w:p w14:paraId="414C8E17" w14:textId="77777777" w:rsidR="006F1A95" w:rsidRPr="00CB4A63" w:rsidRDefault="00D20B8C" w:rsidP="00384080">
      <w:pPr>
        <w:pStyle w:val="Sarakstarindkopa"/>
        <w:numPr>
          <w:ilvl w:val="0"/>
          <w:numId w:val="8"/>
        </w:numPr>
      </w:pPr>
      <w:r>
        <w:t xml:space="preserve">Koordinatora un koordinatora vietnieka lomas tiek rotētas. Lai būtu koordinators/koordinatora vietnieks, NETO jābūt ND TSO funkcijas līdzekļu līdzīpašniekam vai DN TSO funkcijas līdzekļu licenciātam un jāievēro īpašas tehniskās prasības, ko noteikusi NETO ND darbību komiteja un ratificējusi visu NETO komiteja, lai garantētu drošu un uzticamu NDS darbību. Lomu pildošie NETO saņem saprātīgu atlīdzību no visiem labumu gūstošajiem NETO, kuru cenas tiek veidotas katrā NDS sesijā.  </w:t>
      </w:r>
      <w:r>
        <w:rPr>
          <w:highlight w:val="yellow"/>
        </w:rPr>
        <w:t xml:space="preserve"> </w:t>
      </w:r>
    </w:p>
    <w:p w14:paraId="30F3D04A" w14:textId="77777777" w:rsidR="006F1A95" w:rsidRPr="00CB4A63" w:rsidRDefault="006F1A95" w:rsidP="00317EFC">
      <w:pPr>
        <w:pStyle w:val="Sarakstarindkopa"/>
        <w:spacing w:after="120"/>
        <w:ind w:left="360"/>
        <w:jc w:val="both"/>
      </w:pPr>
    </w:p>
    <w:p w14:paraId="148A68BF" w14:textId="77777777" w:rsidR="006C7577" w:rsidRPr="00CB4A63" w:rsidRDefault="006C7577" w:rsidP="00384080">
      <w:pPr>
        <w:pStyle w:val="Sarakstarindkopa"/>
        <w:numPr>
          <w:ilvl w:val="0"/>
          <w:numId w:val="8"/>
        </w:numPr>
        <w:spacing w:after="120"/>
        <w:jc w:val="both"/>
      </w:pPr>
      <w:r>
        <w:t xml:space="preserve">Koordinatora uzdevumi tiek noteikto NETO ND darbības līgumā. Katrs NETO atbild par tā attiecīgo solīšanas zonu individuālo rezultātu apstiprināšanu. Atbildības nodošana no NETO attiecīgajam PSO vai tirgus pusei tiek veikta saskaņā ar vietējiem noteikumiem un/vai tirgus līgumiem. Tikai koordinators, koordinatora vietnieks un operatori var piekļūt CKS. </w:t>
      </w:r>
    </w:p>
    <w:p w14:paraId="1CE13444" w14:textId="77777777" w:rsidR="006C7577" w:rsidRPr="00CB4A63" w:rsidRDefault="006C7577" w:rsidP="006C7577">
      <w:pPr>
        <w:pStyle w:val="Sarakstarindkopa"/>
        <w:spacing w:after="120"/>
        <w:ind w:left="360"/>
        <w:jc w:val="both"/>
      </w:pPr>
    </w:p>
    <w:p w14:paraId="069ED61F" w14:textId="4816CF94" w:rsidR="00F65BFF" w:rsidRPr="00CB4A63" w:rsidRDefault="006C7577" w:rsidP="00042793">
      <w:pPr>
        <w:pStyle w:val="Sarakstarindkopa"/>
        <w:numPr>
          <w:ilvl w:val="0"/>
          <w:numId w:val="8"/>
        </w:numPr>
        <w:spacing w:after="120"/>
        <w:jc w:val="both"/>
      </w:pPr>
      <w:r>
        <w:t xml:space="preserve">Lai pienācīgi veiktu savus uzdevumus, it īpaši, lai pareizi vadītu ND TSO funkcijas līdzekļu uzturēšanu, koordinatoriem, koordinatoru vietniekiem un operatoriem jābūt vai nu ND TSO funkcijas līdzekļu līdzīpašniekiem, vai arī ND TSO funkcijas līdzekļu licenciātiem.  NETO, kas ir ND TSO funkcijas līdzekļu līdzīpašnieki, saglabās atbildību par attiecību ar ND TSO funkcijas pakalpojumu nodrošinātājiem vadību un izmaiņu, par kurām visu NETO komiteja vienojusies ar ND TSO pakalpojumu nodrošinātājiem, ieviešanas pārvaldību. </w:t>
      </w:r>
    </w:p>
    <w:p w14:paraId="16890655" w14:textId="77777777" w:rsidR="00F65BFF" w:rsidRPr="00CB4A63" w:rsidRDefault="00F65BFF" w:rsidP="00F65BFF">
      <w:pPr>
        <w:pStyle w:val="Sarakstarindkopa"/>
      </w:pPr>
    </w:p>
    <w:p w14:paraId="21C49EA8" w14:textId="77777777" w:rsidR="00CC6372" w:rsidRPr="00CB4A63" w:rsidRDefault="00CC6372" w:rsidP="006131EC">
      <w:pPr>
        <w:pStyle w:val="Sarakstarindkopa"/>
        <w:numPr>
          <w:ilvl w:val="0"/>
          <w:numId w:val="8"/>
        </w:numPr>
        <w:spacing w:after="120"/>
        <w:jc w:val="both"/>
        <w:rPr>
          <w:rFonts w:eastAsia="Times New Roman"/>
        </w:rPr>
      </w:pPr>
      <w:r>
        <w:t xml:space="preserve">ND TSO funkcijas līdzekļu līdzīpašnieki apņemsies ievērot visu iesaistīto NETO lēmumu attiecībā uz izmaiņu pieprasījumiem vai citiem jautājumiem attiecībā uz ND TSO funkcijas pakalpojumu nodrošinātājiem.  </w:t>
      </w:r>
    </w:p>
    <w:p w14:paraId="0F075A37" w14:textId="77777777" w:rsidR="00CC6372" w:rsidRPr="00CB4A63" w:rsidRDefault="00CC6372" w:rsidP="006131EC">
      <w:pPr>
        <w:pStyle w:val="Sarakstarindkopa"/>
        <w:spacing w:after="120"/>
        <w:ind w:left="360"/>
        <w:jc w:val="both"/>
      </w:pPr>
    </w:p>
    <w:p w14:paraId="281CB8E3" w14:textId="77777777" w:rsidR="006C7577" w:rsidRPr="00CB4A63" w:rsidRDefault="006C7577" w:rsidP="006C7577">
      <w:pPr>
        <w:pStyle w:val="Virsraksts4"/>
        <w:ind w:left="709" w:hanging="679"/>
      </w:pPr>
      <w:r>
        <w:t>Koordinators / koordinatora vietnieks</w:t>
      </w:r>
    </w:p>
    <w:p w14:paraId="70EDAC30" w14:textId="77777777" w:rsidR="006C7577" w:rsidRPr="00CB4A63" w:rsidRDefault="006C7577" w:rsidP="00384080">
      <w:pPr>
        <w:pStyle w:val="Sarakstarindkopa"/>
        <w:numPr>
          <w:ilvl w:val="0"/>
          <w:numId w:val="18"/>
        </w:numPr>
        <w:spacing w:after="120"/>
        <w:jc w:val="both"/>
      </w:pPr>
      <w:r>
        <w:t>Koordinators ND TSO funkcijas izpildes laikā atbild par šādiem uzdevumiem:</w:t>
      </w:r>
    </w:p>
    <w:p w14:paraId="68F39177" w14:textId="77777777" w:rsidR="006C7577" w:rsidRPr="00CB4A63" w:rsidRDefault="009E31E2" w:rsidP="00384080">
      <w:pPr>
        <w:pStyle w:val="Sarakstarindkopa"/>
        <w:numPr>
          <w:ilvl w:val="0"/>
          <w:numId w:val="16"/>
        </w:numPr>
        <w:jc w:val="both"/>
      </w:pPr>
      <w:r>
        <w:t>koordinēt ND TSO funkcijas darbību;</w:t>
      </w:r>
    </w:p>
    <w:p w14:paraId="63206EF3" w14:textId="77777777" w:rsidR="006C7577" w:rsidRPr="00CB4A63" w:rsidRDefault="006C7577" w:rsidP="00384080">
      <w:pPr>
        <w:pStyle w:val="Sarakstarindkopa"/>
        <w:numPr>
          <w:ilvl w:val="0"/>
          <w:numId w:val="16"/>
        </w:numPr>
        <w:jc w:val="both"/>
      </w:pPr>
      <w:r>
        <w:t>veikt tirgus sasaistes rezultātu aprēķināšanu (tostarp aprēķināt rezultātus saskaņā ar operatīvajām procedūrām, izmantojot piemērotos TSO operatīvos līdzekļus, kā arī izmantojot un apstrādājot datus par starpzonu jaudu un visiem no funkcionējošiem NETO dienā saņemtajiem cenu piedāvājumiem);</w:t>
      </w:r>
    </w:p>
    <w:p w14:paraId="6E4D4F9E" w14:textId="77777777" w:rsidR="006C7577" w:rsidRPr="00CB4A63" w:rsidRDefault="00A37C23" w:rsidP="00384080">
      <w:pPr>
        <w:pStyle w:val="Sarakstarindkopa"/>
        <w:numPr>
          <w:ilvl w:val="0"/>
          <w:numId w:val="16"/>
        </w:numPr>
        <w:jc w:val="both"/>
      </w:pPr>
      <w:r>
        <w:t>avārijas gadījumā būt kopīgajam kontaktpunktam operatoru un TSO pakalpojumu nodrošinātāju starpā;</w:t>
      </w:r>
    </w:p>
    <w:p w14:paraId="26F45D75" w14:textId="77777777" w:rsidR="006C7577" w:rsidRPr="00CB4A63" w:rsidRDefault="00A37C23" w:rsidP="00384080">
      <w:pPr>
        <w:pStyle w:val="Sarakstarindkopa"/>
        <w:numPr>
          <w:ilvl w:val="0"/>
          <w:numId w:val="16"/>
        </w:numPr>
        <w:jc w:val="both"/>
      </w:pPr>
      <w:r>
        <w:t>iesaistīties, ja noticis starpgadījums, un veikt nepieciešamās koordinējošās darbības;</w:t>
      </w:r>
    </w:p>
    <w:p w14:paraId="07B20B21" w14:textId="77777777" w:rsidR="006C7577" w:rsidRPr="00CB4A63" w:rsidRDefault="00B61FBE" w:rsidP="00384080">
      <w:pPr>
        <w:pStyle w:val="Sarakstarindkopa"/>
        <w:numPr>
          <w:ilvl w:val="0"/>
          <w:numId w:val="16"/>
        </w:numPr>
        <w:jc w:val="both"/>
      </w:pPr>
      <w:r>
        <w:t xml:space="preserve">iesniegt ziņojumu par veiktajām darbībām. </w:t>
      </w:r>
    </w:p>
    <w:p w14:paraId="54619840" w14:textId="77777777" w:rsidR="00A37C23" w:rsidRPr="00CB4A63" w:rsidRDefault="00A37C23" w:rsidP="00384080">
      <w:pPr>
        <w:pStyle w:val="Sarakstarindkopa"/>
        <w:numPr>
          <w:ilvl w:val="0"/>
          <w:numId w:val="18"/>
        </w:numPr>
        <w:spacing w:after="120"/>
        <w:jc w:val="both"/>
      </w:pPr>
      <w:r>
        <w:t>Koordinatora vietnieks ND tirgus sasaistes posmā atbild par šādiem uzdevumiem:</w:t>
      </w:r>
    </w:p>
    <w:p w14:paraId="3F1AAFFC" w14:textId="77777777" w:rsidR="006C7577" w:rsidRPr="00CB4A63" w:rsidRDefault="00A37C23" w:rsidP="00384080">
      <w:pPr>
        <w:pStyle w:val="Sarakstarindkopa"/>
        <w:numPr>
          <w:ilvl w:val="0"/>
          <w:numId w:val="24"/>
        </w:numPr>
        <w:jc w:val="both"/>
      </w:pPr>
      <w:r>
        <w:t>būt gatavam jebkurā brīdī tirgus sasaistes posmā pārņemt koordinatora uzdevumus;</w:t>
      </w:r>
    </w:p>
    <w:p w14:paraId="7DDE1D20" w14:textId="77777777" w:rsidR="006C7577" w:rsidRPr="00CB4A63" w:rsidRDefault="006C7577" w:rsidP="00384080">
      <w:pPr>
        <w:pStyle w:val="Sarakstarindkopa"/>
        <w:numPr>
          <w:ilvl w:val="0"/>
          <w:numId w:val="24"/>
        </w:numPr>
        <w:jc w:val="both"/>
      </w:pPr>
      <w:r>
        <w:t xml:space="preserve">veikt tirgus sasaistes rezultātu aprēķināšanu (tostarp aprēķināt rezultātus saskaņā ar operatīvajām procedūrām, izmantojot piemērotos ND TSO funkcijas līdzekļus, kā arī izmantojot un apstrādājot datus par starpzonu jaudu un visiem no funkcionējošiem </w:t>
      </w:r>
      <w:r>
        <w:lastRenderedPageBreak/>
        <w:t>NETO dienā saņemtajiem cenu piedāvājumiem un ziņot koordinatoram par visām konstatētajām neatbilstībām;</w:t>
      </w:r>
    </w:p>
    <w:p w14:paraId="4D1058DF" w14:textId="77777777" w:rsidR="006C7577" w:rsidRPr="00CB4A63" w:rsidRDefault="006C7577" w:rsidP="00384080">
      <w:pPr>
        <w:pStyle w:val="Sarakstarindkopa"/>
        <w:numPr>
          <w:ilvl w:val="0"/>
          <w:numId w:val="24"/>
        </w:numPr>
        <w:jc w:val="both"/>
      </w:pPr>
      <w:r>
        <w:t>nodrošināt koordinatora lomā esošajam NETO nepieciešamo informāciju un atbalstu.</w:t>
      </w:r>
    </w:p>
    <w:p w14:paraId="072E53C8" w14:textId="77777777" w:rsidR="006C7577" w:rsidRPr="00CB4A63" w:rsidRDefault="006C7577" w:rsidP="006C7577">
      <w:pPr>
        <w:pStyle w:val="Virsraksts4"/>
        <w:ind w:left="709" w:hanging="679"/>
      </w:pPr>
      <w:r>
        <w:t>Operators</w:t>
      </w:r>
    </w:p>
    <w:p w14:paraId="1750E14C" w14:textId="77777777" w:rsidR="006C7577" w:rsidRPr="00CB4A63" w:rsidRDefault="006C7577" w:rsidP="00384080">
      <w:pPr>
        <w:pStyle w:val="Sarakstarindkopa"/>
        <w:numPr>
          <w:ilvl w:val="0"/>
          <w:numId w:val="13"/>
        </w:numPr>
        <w:spacing w:after="120"/>
        <w:jc w:val="both"/>
      </w:pPr>
      <w:r>
        <w:t>Operatori pilda šādus galvenos pienākumus:</w:t>
      </w:r>
    </w:p>
    <w:p w14:paraId="14DFD895" w14:textId="77777777" w:rsidR="006C7577" w:rsidRPr="00CB4A63" w:rsidRDefault="00A37C23" w:rsidP="00384080">
      <w:pPr>
        <w:pStyle w:val="Sarakstarindkopa"/>
        <w:numPr>
          <w:ilvl w:val="0"/>
          <w:numId w:val="19"/>
        </w:numPr>
        <w:jc w:val="both"/>
      </w:pPr>
      <w:r>
        <w:t>nodrošina visiem pārējiem operatoriem, tostarp koordinatoram, informāciju, kas nepieciešama operatora vai jebkura apkalpotā tirgus sasaistes rezultātu aprēķināšanai;</w:t>
      </w:r>
    </w:p>
    <w:p w14:paraId="6A8499E7" w14:textId="77777777" w:rsidR="006C7577" w:rsidRPr="00CB4A63" w:rsidRDefault="00747FC9" w:rsidP="00384080">
      <w:pPr>
        <w:pStyle w:val="Sarakstarindkopa"/>
        <w:numPr>
          <w:ilvl w:val="0"/>
          <w:numId w:val="19"/>
        </w:numPr>
        <w:jc w:val="both"/>
      </w:pPr>
      <w:r>
        <w:t>paralēli aprēķinot tirgus sasaistes rezultātus, ziņo koordinatoram par visām konstatētajām neatbilstībām;</w:t>
      </w:r>
    </w:p>
    <w:p w14:paraId="7C112195" w14:textId="77777777" w:rsidR="006C7577" w:rsidRPr="00CB4A63" w:rsidRDefault="006C7577" w:rsidP="00384080">
      <w:pPr>
        <w:pStyle w:val="Sarakstarindkopa"/>
        <w:numPr>
          <w:ilvl w:val="0"/>
          <w:numId w:val="19"/>
        </w:numPr>
        <w:jc w:val="both"/>
      </w:pPr>
      <w:r>
        <w:t>piedalās koordinatora vadītajās darbībās un ievēro kopīgi pieņemtos lēmumus;</w:t>
      </w:r>
    </w:p>
    <w:p w14:paraId="38425C32" w14:textId="77777777" w:rsidR="006C7577" w:rsidRPr="00CB4A63" w:rsidRDefault="006C7577" w:rsidP="00384080">
      <w:pPr>
        <w:pStyle w:val="Sarakstarindkopa"/>
        <w:numPr>
          <w:ilvl w:val="0"/>
          <w:numId w:val="19"/>
        </w:numPr>
        <w:jc w:val="both"/>
      </w:pPr>
      <w:r>
        <w:t xml:space="preserve">pieņem vai noraida savu un apkalpoto tirgu sasaistes rezultātus. </w:t>
      </w:r>
    </w:p>
    <w:p w14:paraId="64D7C8CC" w14:textId="77777777" w:rsidR="000917F6" w:rsidRPr="00CB4A63" w:rsidRDefault="006C7577" w:rsidP="00384080">
      <w:pPr>
        <w:pStyle w:val="Sarakstarindkopa"/>
        <w:numPr>
          <w:ilvl w:val="0"/>
          <w:numId w:val="13"/>
        </w:numPr>
        <w:spacing w:after="120"/>
        <w:jc w:val="both"/>
      </w:pPr>
      <w:r>
        <w:t xml:space="preserve">Jebkurš NETO var pildīt operatora lomu, ja tas (a) ir ND TSO funkcijas līdzekļu līdzīpašnieks vai ND TSO funkcijas līdzekļu licenciāts un (b) ievēro īpašas tehniskās prasības, ko noteikusi ND darbību komiteja un ratificējusi visu NETO komiteja, lai garantētu drošu un uzticamu ND tirgus sasaistes darbību. </w:t>
      </w:r>
    </w:p>
    <w:p w14:paraId="453F23C2" w14:textId="77777777" w:rsidR="003866EC" w:rsidRPr="00CB4A63" w:rsidRDefault="003866EC" w:rsidP="00384080">
      <w:pPr>
        <w:pStyle w:val="Sarakstarindkopa"/>
        <w:numPr>
          <w:ilvl w:val="0"/>
          <w:numId w:val="13"/>
        </w:numPr>
        <w:spacing w:after="120"/>
        <w:jc w:val="both"/>
      </w:pPr>
      <w:r>
        <w:t xml:space="preserve">Saskaņā ar CACM regulas 81. pantu NETO, kas parakstījis NETO D darbības līgumu, var deleģēt operatora lomu apkalpojošajam NETO. Precīzs šīs deleģēšanas tvērums un darbības detaļas, kas piemērojamas apkalpotā un apkalpojošā NETO starpā, jānosaka divpusējā līgumā, kas jānoslēdz apkalpotajam un apkalpojošajam NETO – tam jāatbilst NETO ND darbības līgumā norādītajiem noteikumiem un procedūrām. </w:t>
      </w:r>
    </w:p>
    <w:p w14:paraId="224BA7AA" w14:textId="77777777" w:rsidR="003866EC" w:rsidRPr="00CB4A63" w:rsidRDefault="003866EC" w:rsidP="00384080">
      <w:pPr>
        <w:pStyle w:val="Sarakstarindkopa"/>
        <w:numPr>
          <w:ilvl w:val="0"/>
          <w:numId w:val="13"/>
        </w:numPr>
        <w:spacing w:after="120"/>
        <w:jc w:val="both"/>
      </w:pPr>
      <w:r>
        <w:t xml:space="preserve">Galvenie šīs deleģēšanas aspekti, kas tiks noteikti NETO D darbības līgumā: </w:t>
      </w:r>
    </w:p>
    <w:p w14:paraId="4B6BE499" w14:textId="77777777" w:rsidR="003866EC" w:rsidRPr="00CB4A63" w:rsidRDefault="004A4B72" w:rsidP="00384080">
      <w:pPr>
        <w:pStyle w:val="Sarakstarindkopa"/>
        <w:numPr>
          <w:ilvl w:val="0"/>
          <w:numId w:val="12"/>
        </w:numPr>
        <w:spacing w:after="120"/>
        <w:jc w:val="both"/>
      </w:pPr>
      <w:r>
        <w:t xml:space="preserve">apkalpojošais NETO saskaņā ar reģionālajiem līgumiem apkopos no apkalpotā NETO visu tīkla ierobežojumu un pasūtījumu informāciju un veiks visas 6.1.3. punktā aprakstītās TSO funkcijas izpildes darbības apkalpotā NETO vārdā un uzdevumā. </w:t>
      </w:r>
    </w:p>
    <w:p w14:paraId="052D9222" w14:textId="77777777" w:rsidR="003866EC" w:rsidRPr="00CB4A63" w:rsidRDefault="003866EC" w:rsidP="00384080">
      <w:pPr>
        <w:pStyle w:val="Sarakstarindkopa"/>
        <w:numPr>
          <w:ilvl w:val="0"/>
          <w:numId w:val="12"/>
        </w:numPr>
        <w:spacing w:after="120"/>
        <w:jc w:val="both"/>
      </w:pPr>
      <w:r>
        <w:t>Nākamās dienas tirgus sasaistes sesiju laikā apkalpotā NETO un operatoru starpā nenotiks tieša saziņa, tā tiks veikta tikai ar apkalpojošā NETO starpniecību; Apkalpotais NETO deleģē apkalpojošajam NETO vismaz tā atbildību par reāllaika darba procesiem.</w:t>
      </w:r>
    </w:p>
    <w:p w14:paraId="404BDFF1" w14:textId="77777777" w:rsidR="003866EC" w:rsidRPr="00CB4A63" w:rsidRDefault="003866EC" w:rsidP="00384080">
      <w:pPr>
        <w:pStyle w:val="Sarakstarindkopa"/>
        <w:numPr>
          <w:ilvl w:val="0"/>
          <w:numId w:val="13"/>
        </w:numPr>
        <w:spacing w:after="120"/>
        <w:jc w:val="both"/>
      </w:pPr>
      <w:r>
        <w:t>Šī deleģēšana nedrīkst ietekmēt apkalpotā NETO pienākumus saskaņā ar CACM regulu, TSO plānu vai NETO ND darbības līgumu. Attiecīgi deleģēšana nedrīkst mainīt atbildību, ko katrs NETO uzņemas par tā rezultātiem saskaņā ar šī TSO plāna 6.1.1. punktu.</w:t>
      </w:r>
      <w:r>
        <w:br/>
      </w:r>
    </w:p>
    <w:p w14:paraId="39DB063B" w14:textId="77777777" w:rsidR="006C7577" w:rsidRPr="00CB4A63" w:rsidRDefault="006C7577" w:rsidP="00764D9D">
      <w:pPr>
        <w:pStyle w:val="Virsraksts3"/>
      </w:pPr>
      <w:bookmarkStart w:id="91" w:name="_Toc445917284"/>
      <w:bookmarkStart w:id="92" w:name="_Toc479786223"/>
      <w:bookmarkStart w:id="93" w:name="_Toc484770702"/>
      <w:r>
        <w:t>Darbību secība tirgus sasaistes sesijā</w:t>
      </w:r>
      <w:bookmarkEnd w:id="91"/>
      <w:bookmarkEnd w:id="92"/>
      <w:bookmarkEnd w:id="93"/>
      <w:r>
        <w:t xml:space="preserve"> </w:t>
      </w:r>
    </w:p>
    <w:p w14:paraId="228ACB92" w14:textId="77777777" w:rsidR="006C7577" w:rsidRPr="00CB4A63" w:rsidRDefault="006C7577" w:rsidP="00384080">
      <w:pPr>
        <w:pStyle w:val="Sarakstarindkopa"/>
        <w:numPr>
          <w:ilvl w:val="0"/>
          <w:numId w:val="14"/>
        </w:numPr>
        <w:spacing w:after="120"/>
        <w:jc w:val="both"/>
      </w:pPr>
      <w:r>
        <w:t>Tirgus sasaistes sesija sastāv no secīgiem procesa soļiem, kuros jāievēro norunātie termiņi:</w:t>
      </w:r>
    </w:p>
    <w:p w14:paraId="41B0541D" w14:textId="77777777" w:rsidR="006C7577" w:rsidRPr="00CB4A63" w:rsidRDefault="006C7577" w:rsidP="00384080">
      <w:pPr>
        <w:pStyle w:val="Sarakstarindkopa"/>
        <w:numPr>
          <w:ilvl w:val="0"/>
          <w:numId w:val="11"/>
        </w:numPr>
        <w:jc w:val="both"/>
      </w:pPr>
      <w:r>
        <w:t>norunātā laikā funkcionējošie NETO saņem no attiecīgajiem PSO tīkla ierobežojumus. Šis saņemšanas process ir decentralizēts un tiek īstenots saskaņā ar valstu noteikumiem un/vai tirgus līgumiem;</w:t>
      </w:r>
    </w:p>
    <w:p w14:paraId="2497BF98" w14:textId="52BB9756" w:rsidR="006C7577" w:rsidRPr="00CB4A63" w:rsidRDefault="006C7577" w:rsidP="00384080">
      <w:pPr>
        <w:pStyle w:val="Sarakstarindkopa"/>
        <w:numPr>
          <w:ilvl w:val="0"/>
          <w:numId w:val="11"/>
        </w:numPr>
        <w:jc w:val="both"/>
      </w:pPr>
      <w:r>
        <w:t xml:space="preserve">piedāvājumu saņemšanas procesu, tostarp pasūtījumu pieņemšanas perioda atklāšanu un slēgšanu decentralizētā veidā saskaņā ar to vietējiem noteikumiem un/vai tirgus līgumiem, veic visi funkcionējošie NETO.  Operatīvu iemeslu dēļ šajā piedāvājumu saņemšanas procesā iespējami izņēmuma aizkavēšanās gadījumi; </w:t>
      </w:r>
    </w:p>
    <w:p w14:paraId="6C9DE2A3" w14:textId="77777777" w:rsidR="006C7577" w:rsidRPr="00CB4A63" w:rsidRDefault="006C7577" w:rsidP="00384080">
      <w:pPr>
        <w:pStyle w:val="Sarakstarindkopa"/>
        <w:numPr>
          <w:ilvl w:val="0"/>
          <w:numId w:val="11"/>
        </w:numPr>
        <w:jc w:val="both"/>
      </w:pPr>
      <w:r>
        <w:t>norunātā laikā visi funkcionējošie NETO iesniedz viens otram tīkla ierobežojumu kopumu (kas saņemts no PSO saskaņā ar vietējiem noteikumiem vai tirgus līgumiem) un anonimizētus pasūtījumus, par kuriem tie atbild;</w:t>
      </w:r>
    </w:p>
    <w:p w14:paraId="000C7ECE" w14:textId="77777777" w:rsidR="006C7577" w:rsidRPr="00CB4A63" w:rsidRDefault="006C7577" w:rsidP="00384080">
      <w:pPr>
        <w:pStyle w:val="Sarakstarindkopa"/>
        <w:numPr>
          <w:ilvl w:val="0"/>
          <w:numId w:val="11"/>
        </w:numPr>
        <w:jc w:val="both"/>
      </w:pPr>
      <w:r>
        <w:t>rezultātu aprēķināšanas procesu iepriekš noteiktā brīdī uzsāk koordinators, koordinatora vietnieks un visi citi operatori, kas vēlas to veikt;</w:t>
      </w:r>
    </w:p>
    <w:p w14:paraId="7A69546A" w14:textId="77777777" w:rsidR="006C7577" w:rsidRPr="00CB4A63" w:rsidRDefault="006C7577" w:rsidP="00384080">
      <w:pPr>
        <w:pStyle w:val="Sarakstarindkopa"/>
        <w:numPr>
          <w:ilvl w:val="0"/>
          <w:numId w:val="11"/>
        </w:numPr>
        <w:jc w:val="both"/>
      </w:pPr>
      <w:r>
        <w:lastRenderedPageBreak/>
        <w:t>kad koordinators ir ieguvis rezultātus, viņš par tiem paziņo visiem operatoriem, lai NETO tos apstiprinātu, potenciāli salīdzinot koordinatora rezultātus ar sava algoritma rezultātiem;</w:t>
      </w:r>
    </w:p>
    <w:p w14:paraId="35D84D76" w14:textId="77777777" w:rsidR="00C23237" w:rsidRPr="00CB4A63" w:rsidRDefault="006C7577" w:rsidP="00384080">
      <w:pPr>
        <w:pStyle w:val="Sarakstarindkopa"/>
        <w:numPr>
          <w:ilvl w:val="0"/>
          <w:numId w:val="11"/>
        </w:numPr>
        <w:jc w:val="both"/>
      </w:pPr>
      <w:r>
        <w:t xml:space="preserve">tiklīdz šī darbība ir pabeigta, vienotā laikā (ja vien process nav aizkavējies) tiek publicētas sākotnējās tirgus cenas;  </w:t>
      </w:r>
    </w:p>
    <w:p w14:paraId="46207F29" w14:textId="77777777" w:rsidR="006C7577" w:rsidRPr="00CB4A63" w:rsidRDefault="00C23237" w:rsidP="00384080">
      <w:pPr>
        <w:pStyle w:val="Sarakstarindkopa"/>
        <w:numPr>
          <w:ilvl w:val="0"/>
          <w:numId w:val="11"/>
        </w:numPr>
        <w:jc w:val="both"/>
      </w:pPr>
      <w:r>
        <w:t>tagad katrs NETO var atklāt tā tirgus dalībniekiem savus konkrētos rezultātus; ja to prasa vietējie noteikumi un/vai tirgus līgumi, tie jāizmanto rezultātu apstiprināšanai;</w:t>
      </w:r>
    </w:p>
    <w:p w14:paraId="67BB12D2" w14:textId="77777777" w:rsidR="00C23237" w:rsidRPr="00CB4A63" w:rsidRDefault="00C23237" w:rsidP="00384080">
      <w:pPr>
        <w:pStyle w:val="Sarakstarindkopa"/>
        <w:numPr>
          <w:ilvl w:val="0"/>
          <w:numId w:val="11"/>
        </w:numPr>
        <w:jc w:val="both"/>
      </w:pPr>
      <w:r>
        <w:t>NETO attiecīgajiem PSO izpauž informāciju, kas tiem nepieciešama rezultātu apstiprināšanai saskaņā ar vietējiem noteikumiem un/vai līgumiem;</w:t>
      </w:r>
    </w:p>
    <w:p w14:paraId="0ECDF4B5" w14:textId="77777777" w:rsidR="006C7577" w:rsidRPr="00CB4A63" w:rsidRDefault="006C7577" w:rsidP="00384080">
      <w:pPr>
        <w:pStyle w:val="Sarakstarindkopa"/>
        <w:numPr>
          <w:ilvl w:val="0"/>
          <w:numId w:val="11"/>
        </w:numPr>
        <w:jc w:val="both"/>
      </w:pPr>
      <w:r>
        <w:t xml:space="preserve">tiklīdz ir pabeigta galīgā apstiprināšana un katrs NETO ir paziņojis rezultātus visiem citiem NETO, rezultāti tiek paziņoti stingrā un neto pozīcijā, un zonu cenas nevar nekādā veidā mainīt. </w:t>
      </w:r>
    </w:p>
    <w:p w14:paraId="0E31853F" w14:textId="77777777" w:rsidR="006C7577" w:rsidRPr="00CB4A63" w:rsidRDefault="006C7577" w:rsidP="006C7577">
      <w:pPr>
        <w:pStyle w:val="Sarakstarindkopa"/>
        <w:spacing w:after="120"/>
        <w:ind w:left="360"/>
        <w:jc w:val="both"/>
      </w:pPr>
    </w:p>
    <w:p w14:paraId="1CD16BED" w14:textId="77777777" w:rsidR="006C7577" w:rsidRPr="00CB4A63" w:rsidRDefault="006C7577" w:rsidP="00384080">
      <w:pPr>
        <w:pStyle w:val="Sarakstarindkopa"/>
        <w:numPr>
          <w:ilvl w:val="0"/>
          <w:numId w:val="14"/>
        </w:numPr>
        <w:spacing w:after="120"/>
        <w:jc w:val="both"/>
      </w:pPr>
      <w:r>
        <w:t>NETO ND darbības līgums ietvers precīzu procedūru kopu, aprakstot katru darbības posmu funkcionējošā NETO īstenotajā tirgus sasaistes procesā. Tā ietver aizvietošanas mehānismus, informatīvos ziņojumus dalībniekiem un PSO, kā arī ziņojumus, kas tiek izveidoti parastos gadījumos un tad, kad nav nekādu starpgadījumu. NETO ND darbības līgums ietvers arī noteikumus par procedūru atjaunošanu un mainīšanu.</w:t>
      </w:r>
    </w:p>
    <w:p w14:paraId="292612C1" w14:textId="77777777" w:rsidR="006C7577" w:rsidRPr="00CB4A63" w:rsidRDefault="006C7577" w:rsidP="006C7577">
      <w:pPr>
        <w:pStyle w:val="Sarakstarindkopa"/>
        <w:spacing w:after="120"/>
        <w:ind w:left="360"/>
        <w:jc w:val="both"/>
      </w:pPr>
    </w:p>
    <w:p w14:paraId="34AA3DAC" w14:textId="77777777" w:rsidR="006C7577" w:rsidRPr="00CB4A63" w:rsidRDefault="006C7577" w:rsidP="00764D9D">
      <w:pPr>
        <w:pStyle w:val="Virsraksts3"/>
      </w:pPr>
      <w:bookmarkStart w:id="94" w:name="_Toc445917285"/>
      <w:bookmarkStart w:id="95" w:name="_Toc479786224"/>
      <w:bookmarkStart w:id="96" w:name="_Toc484770703"/>
      <w:r>
        <w:t>Nākamās dienas tirgus sasaistes sesijas rezultātu apstiprināšana</w:t>
      </w:r>
      <w:bookmarkEnd w:id="94"/>
      <w:bookmarkEnd w:id="95"/>
      <w:bookmarkEnd w:id="96"/>
    </w:p>
    <w:p w14:paraId="020CB4DF" w14:textId="77777777" w:rsidR="006C7577" w:rsidRPr="00CB4A63" w:rsidRDefault="006C7577" w:rsidP="00384080">
      <w:pPr>
        <w:pStyle w:val="Sarakstarindkopa"/>
        <w:numPr>
          <w:ilvl w:val="0"/>
          <w:numId w:val="9"/>
        </w:numPr>
        <w:spacing w:after="120"/>
        <w:jc w:val="both"/>
      </w:pPr>
      <w:r>
        <w:t>Ir divu veidu apstiprinājumi:</w:t>
      </w:r>
    </w:p>
    <w:p w14:paraId="3C838A21" w14:textId="77777777" w:rsidR="006C7577" w:rsidRPr="00CB4A63" w:rsidRDefault="006C7577" w:rsidP="00384080">
      <w:pPr>
        <w:pStyle w:val="Sarakstarindkopa"/>
        <w:numPr>
          <w:ilvl w:val="0"/>
          <w:numId w:val="10"/>
        </w:numPr>
        <w:jc w:val="both"/>
      </w:pPr>
      <w:r>
        <w:t>apstiprinājums, ko pēc būtības veicis cenu sasaistes algoritms, lai garantētu, ka rezultātos tiks ņemti vērā tīkla ierobežojumi un pasūtījumu raksturlielumi;</w:t>
      </w:r>
    </w:p>
    <w:p w14:paraId="1D56F9E5" w14:textId="77777777" w:rsidR="006C7577" w:rsidRPr="00CB4A63" w:rsidRDefault="006C7577" w:rsidP="00384080">
      <w:pPr>
        <w:pStyle w:val="Sarakstarindkopa"/>
        <w:numPr>
          <w:ilvl w:val="0"/>
          <w:numId w:val="10"/>
        </w:numPr>
        <w:jc w:val="both"/>
      </w:pPr>
      <w:r>
        <w:t xml:space="preserve">visu NETO veiktais apstiprinājums – vieni paši vai kopā ar PSO un tirgus dalībniekiem, lai uzliktu pienācīgu atbildību par rezultātiem. </w:t>
      </w:r>
    </w:p>
    <w:p w14:paraId="2CBD91DF" w14:textId="77777777" w:rsidR="006C7577" w:rsidRPr="00CB4A63" w:rsidRDefault="006C7577" w:rsidP="00384080">
      <w:pPr>
        <w:pStyle w:val="Sarakstarindkopa"/>
        <w:numPr>
          <w:ilvl w:val="0"/>
          <w:numId w:val="9"/>
        </w:numPr>
        <w:spacing w:after="120"/>
        <w:jc w:val="both"/>
      </w:pPr>
      <w:r>
        <w:t>Šie apstiprinājumi tiek veikti saskaņā ar vietējiem noteikumiem un/vai tirgus līgumiem saskaņā ar CACM 48. pantu.</w:t>
      </w:r>
    </w:p>
    <w:p w14:paraId="7F91DD04" w14:textId="77777777" w:rsidR="00E0644A" w:rsidRPr="00CB4A63" w:rsidRDefault="00E0644A" w:rsidP="006D7AE5">
      <w:pPr>
        <w:pStyle w:val="Sarakstarindkopa"/>
        <w:spacing w:after="120"/>
        <w:ind w:left="360"/>
        <w:contextualSpacing w:val="0"/>
        <w:jc w:val="both"/>
      </w:pPr>
    </w:p>
    <w:p w14:paraId="19D8EDD3" w14:textId="77777777" w:rsidR="006C7577" w:rsidRPr="00CB4A63" w:rsidRDefault="00B058F5" w:rsidP="006C7577">
      <w:pPr>
        <w:pStyle w:val="Virsraksts2"/>
        <w:ind w:left="567" w:hanging="567"/>
      </w:pPr>
      <w:bookmarkStart w:id="97" w:name="_Toc479786225"/>
      <w:bookmarkStart w:id="98" w:name="_Toc484770704"/>
      <w:bookmarkStart w:id="99" w:name="_Toc444699148"/>
      <w:bookmarkStart w:id="100" w:name="_Toc444849224"/>
      <w:bookmarkStart w:id="101" w:name="_Toc445917287"/>
      <w:r>
        <w:t>ND TSO funkcijas sistēmas</w:t>
      </w:r>
      <w:bookmarkEnd w:id="97"/>
      <w:bookmarkEnd w:id="98"/>
      <w:r>
        <w:t xml:space="preserve"> </w:t>
      </w:r>
      <w:bookmarkEnd w:id="99"/>
      <w:bookmarkEnd w:id="100"/>
      <w:bookmarkEnd w:id="101"/>
    </w:p>
    <w:p w14:paraId="3228656F" w14:textId="77777777" w:rsidR="006C7577" w:rsidRPr="00CB4A63" w:rsidRDefault="006C7577" w:rsidP="00384080">
      <w:pPr>
        <w:pStyle w:val="Sarakstarindkopa"/>
        <w:numPr>
          <w:ilvl w:val="0"/>
          <w:numId w:val="15"/>
        </w:numPr>
        <w:spacing w:after="120"/>
        <w:jc w:val="both"/>
      </w:pPr>
      <w:r>
        <w:t>ND TSO funkcijas izpildei nepieciešamās sistēmas ietver CKS; tas savukārt ietver divus galvenos apakšmoduļus (starpniekmoduli un korelācijas moduli) un algoritmu (aprakstīts iepriekš).</w:t>
      </w:r>
    </w:p>
    <w:p w14:paraId="52C82C7D" w14:textId="77777777" w:rsidR="006C7577" w:rsidRPr="00CB4A63" w:rsidRDefault="006C7577" w:rsidP="00384080">
      <w:pPr>
        <w:pStyle w:val="Sarakstarindkopa"/>
        <w:numPr>
          <w:ilvl w:val="1"/>
          <w:numId w:val="15"/>
        </w:numPr>
        <w:jc w:val="both"/>
      </w:pPr>
      <w:r>
        <w:t xml:space="preserve">Starpniekmodulis darbojas kā visu citu CKS saskarne (lai kopīgotu datus ar atvēlēta un droša mākoņa palīdzību) un kopā ar lokālajām NETO IT sistēmām. </w:t>
      </w:r>
    </w:p>
    <w:p w14:paraId="645F9717" w14:textId="77777777" w:rsidR="006C7577" w:rsidRPr="00CB4A63" w:rsidRDefault="006C7577" w:rsidP="00384080">
      <w:pPr>
        <w:pStyle w:val="Sarakstarindkopa"/>
        <w:numPr>
          <w:ilvl w:val="1"/>
          <w:numId w:val="15"/>
        </w:numPr>
        <w:jc w:val="both"/>
      </w:pPr>
      <w:r>
        <w:t xml:space="preserve">Korelācijas modulis padara visus no starpniekmoduļa saņemtos datus pieejamus cenu sasaistes algoritmam un aktivizē cenu sasaistes algoritmu. Šis modulis arī saņem no algoritma cenu sasaistes rezultātus un pārsūta tos starpniekmoduļa rezultātiem. </w:t>
      </w:r>
    </w:p>
    <w:p w14:paraId="42344BD6" w14:textId="77777777" w:rsidR="006D7AE5" w:rsidRPr="00CB4A63" w:rsidRDefault="006D7AE5" w:rsidP="006D7AE5">
      <w:pPr>
        <w:pStyle w:val="Sarakstarindkopa"/>
        <w:ind w:left="1080"/>
        <w:jc w:val="both"/>
      </w:pPr>
    </w:p>
    <w:p w14:paraId="6B4E1B98" w14:textId="77777777" w:rsidR="006C7577" w:rsidRPr="00CB4A63" w:rsidRDefault="006C7577" w:rsidP="00384080">
      <w:pPr>
        <w:pStyle w:val="Sarakstarindkopa"/>
        <w:numPr>
          <w:ilvl w:val="0"/>
          <w:numId w:val="15"/>
        </w:numPr>
        <w:jc w:val="both"/>
        <w:rPr>
          <w:rFonts w:cs="Arial"/>
        </w:rPr>
      </w:pPr>
      <w:r>
        <w:t xml:space="preserve">Parastā darbības režīmā starpniekmodulis automātiski veic darbības (failu apmaiņu, energoneatkarīgus ziņojumus u. c.). Tomēr, ja nepieciešams, starpniekmodulis ļauj operatoram manuāli palaist visas šīs darbības. </w:t>
      </w:r>
    </w:p>
    <w:p w14:paraId="2E8581AB" w14:textId="77777777" w:rsidR="006D7AE5" w:rsidRPr="00CB4A63" w:rsidRDefault="006D7AE5" w:rsidP="006D7AE5">
      <w:pPr>
        <w:pStyle w:val="Sarakstarindkopa"/>
        <w:ind w:left="360"/>
        <w:jc w:val="both"/>
        <w:rPr>
          <w:rFonts w:cs="Arial"/>
        </w:rPr>
      </w:pPr>
    </w:p>
    <w:p w14:paraId="52CC42E1" w14:textId="77777777" w:rsidR="006D7AE5" w:rsidRPr="00CB4A63" w:rsidRDefault="006C7577" w:rsidP="00384080">
      <w:pPr>
        <w:pStyle w:val="Sarakstarindkopa"/>
        <w:numPr>
          <w:ilvl w:val="0"/>
          <w:numId w:val="15"/>
        </w:numPr>
        <w:jc w:val="both"/>
        <w:rPr>
          <w:rFonts w:cs="Arial"/>
        </w:rPr>
      </w:pPr>
      <w:r>
        <w:t>NETO izmanto atvēlētu un drošu uz mākoņpakalpojumiem balstītu sakaru risinājumu (turpmāk – „MPLS mākonis”), lai veiktu datu apmaiņu ar katru CKS.</w:t>
      </w:r>
    </w:p>
    <w:p w14:paraId="012E8FB4" w14:textId="77777777" w:rsidR="006D7AE5" w:rsidRPr="00CB4A63" w:rsidRDefault="006D7AE5" w:rsidP="006D7AE5">
      <w:pPr>
        <w:pStyle w:val="Sarakstarindkopa"/>
        <w:ind w:left="360"/>
        <w:jc w:val="both"/>
        <w:rPr>
          <w:rFonts w:cs="Arial"/>
        </w:rPr>
      </w:pPr>
    </w:p>
    <w:p w14:paraId="724B9752" w14:textId="77777777" w:rsidR="006C7577" w:rsidRPr="00CB4A63" w:rsidRDefault="009C673E" w:rsidP="00384080">
      <w:pPr>
        <w:pStyle w:val="Sarakstarindkopa"/>
        <w:numPr>
          <w:ilvl w:val="0"/>
          <w:numId w:val="15"/>
        </w:numPr>
        <w:jc w:val="both"/>
        <w:rPr>
          <w:rFonts w:cs="Arial"/>
        </w:rPr>
      </w:pPr>
      <w:r>
        <w:lastRenderedPageBreak/>
        <w:t xml:space="preserve">Visām funkcionējošām TSO funkcijas sistēmām jāatbilst veiktspējas un ārkārtas atkopšanas prasībām, kā NETO vienojušies NETO ND darbības līgumā. </w:t>
      </w:r>
    </w:p>
    <w:p w14:paraId="58F92810" w14:textId="77777777" w:rsidR="001B3611" w:rsidRPr="00CB4A63" w:rsidRDefault="001B3611" w:rsidP="00764D9D">
      <w:pPr>
        <w:pStyle w:val="Virsraksts3"/>
      </w:pPr>
      <w:bookmarkStart w:id="102" w:name="_Toc479786226"/>
      <w:bookmarkStart w:id="103" w:name="_Toc484770705"/>
      <w:r>
        <w:t>Izmaiņu kontroles procedūra</w:t>
      </w:r>
      <w:bookmarkEnd w:id="102"/>
      <w:bookmarkEnd w:id="103"/>
    </w:p>
    <w:p w14:paraId="6982DC2E" w14:textId="77777777" w:rsidR="00334ED7" w:rsidRPr="00CB4A63" w:rsidRDefault="001B3611" w:rsidP="00384080">
      <w:pPr>
        <w:pStyle w:val="Sarakstarindkopa"/>
        <w:numPr>
          <w:ilvl w:val="0"/>
          <w:numId w:val="26"/>
        </w:numPr>
        <w:jc w:val="both"/>
      </w:pPr>
      <w:r>
        <w:t xml:space="preserve">Visām izmaiņām ND TSO funkcijas līdzekļos, visām attiecīgajām izmaiņām savienotajās lokālajās sistēmās, kā arī visām izmaiņām tirgus sasaistes sistēmas ievades datu formātā vai būtībā, kas var radīt darbības traucējumu risku, veiktspējas pasliktināšanos vai problēmu darbību nepārtrauktības nodrošināšanā, tiek piemērota ND tirgus sasaistes izmaiņu kontroles procedūra. </w:t>
      </w:r>
    </w:p>
    <w:p w14:paraId="5C45BFE7" w14:textId="77777777" w:rsidR="00334ED7" w:rsidRPr="00CB4A63" w:rsidRDefault="00334ED7" w:rsidP="00334ED7">
      <w:pPr>
        <w:pStyle w:val="Sarakstarindkopa"/>
        <w:ind w:left="360"/>
        <w:jc w:val="both"/>
      </w:pPr>
    </w:p>
    <w:p w14:paraId="7ADFF009" w14:textId="77777777" w:rsidR="002C35B1" w:rsidRPr="00CB4A63" w:rsidRDefault="001B3611" w:rsidP="00384080">
      <w:pPr>
        <w:pStyle w:val="Sarakstarindkopa"/>
        <w:numPr>
          <w:ilvl w:val="0"/>
          <w:numId w:val="26"/>
        </w:numPr>
        <w:jc w:val="both"/>
      </w:pPr>
      <w:r>
        <w:t xml:space="preserve">Pirms īstenošanas noslēgšanas jānovērtē izmaiņu pieprasījuma ietekme. NETO atbild par ieviešanas pieņemšanas kritēriju izveidi un izmaiņu apstiprināšanu. </w:t>
      </w:r>
    </w:p>
    <w:p w14:paraId="7C08716B" w14:textId="77777777" w:rsidR="00D72C3A" w:rsidRPr="00CB4A63" w:rsidRDefault="00D72C3A" w:rsidP="00D72C3A">
      <w:pPr>
        <w:pStyle w:val="Sarakstarindkopa"/>
        <w:ind w:left="360"/>
        <w:jc w:val="both"/>
      </w:pPr>
    </w:p>
    <w:p w14:paraId="6AF4024A" w14:textId="77777777" w:rsidR="001B3611" w:rsidRPr="00CB4A63" w:rsidRDefault="0089463D" w:rsidP="00384080">
      <w:pPr>
        <w:pStyle w:val="Sarakstarindkopa"/>
        <w:numPr>
          <w:ilvl w:val="0"/>
          <w:numId w:val="26"/>
        </w:numPr>
        <w:jc w:val="both"/>
      </w:pPr>
      <w:r>
        <w:t xml:space="preserve">Visiem NETO ir tiesības pieprasīt izmaiņas to vienreizējai lietošanai vai NETO apakšgrupas lietošanai, ja viņi finansē izmaiņas reģistrētajos ND TSO funkcijas līdzekļos un ievēro visu NETO ieviešanas un apstiprināšanas pieņemšanas kritērijus. </w:t>
      </w:r>
    </w:p>
    <w:p w14:paraId="2E08CACB" w14:textId="77777777" w:rsidR="00167F62" w:rsidRPr="00CB4A63" w:rsidRDefault="00167F62" w:rsidP="004005A6">
      <w:pPr>
        <w:spacing w:after="160" w:line="259" w:lineRule="auto"/>
        <w:jc w:val="both"/>
      </w:pPr>
    </w:p>
    <w:p w14:paraId="2258959B" w14:textId="77777777" w:rsidR="00015460" w:rsidRPr="00CB4A63" w:rsidRDefault="00015460">
      <w:pPr>
        <w:spacing w:after="160" w:line="259" w:lineRule="auto"/>
        <w:rPr>
          <w:rFonts w:asciiTheme="majorHAnsi" w:eastAsiaTheme="majorEastAsia" w:hAnsiTheme="majorHAnsi" w:cstheme="majorBidi"/>
          <w:b/>
          <w:bCs/>
          <w:color w:val="2E74B5" w:themeColor="accent1" w:themeShade="BF"/>
          <w:sz w:val="28"/>
          <w:szCs w:val="28"/>
        </w:rPr>
      </w:pPr>
      <w:bookmarkStart w:id="104" w:name="_Toc446482321"/>
      <w:bookmarkStart w:id="105" w:name="_Toc445904462"/>
      <w:bookmarkStart w:id="106" w:name="_Toc445904187"/>
      <w:r>
        <w:br w:type="page"/>
      </w:r>
    </w:p>
    <w:p w14:paraId="3B701634" w14:textId="77777777" w:rsidR="0095011F" w:rsidRPr="00CB4A63" w:rsidRDefault="0095011F" w:rsidP="002F0405">
      <w:pPr>
        <w:pStyle w:val="Virsraksts1"/>
      </w:pPr>
      <w:bookmarkStart w:id="107" w:name="_Toc479786227"/>
      <w:bookmarkStart w:id="108" w:name="_Toc484770706"/>
      <w:r>
        <w:lastRenderedPageBreak/>
        <w:t>SADARBĪBA DIENNAKTS TIRGŪ</w:t>
      </w:r>
      <w:bookmarkEnd w:id="104"/>
      <w:bookmarkEnd w:id="105"/>
      <w:bookmarkEnd w:id="106"/>
      <w:bookmarkEnd w:id="107"/>
      <w:bookmarkEnd w:id="108"/>
      <w:r>
        <w:t xml:space="preserve"> </w:t>
      </w:r>
    </w:p>
    <w:p w14:paraId="561099E3" w14:textId="77777777" w:rsidR="0095011F" w:rsidRPr="00CB4A63" w:rsidRDefault="001A6F20" w:rsidP="00384080">
      <w:pPr>
        <w:pStyle w:val="Virsraksts2"/>
        <w:keepNext w:val="0"/>
        <w:keepLines w:val="0"/>
        <w:numPr>
          <w:ilvl w:val="1"/>
          <w:numId w:val="28"/>
        </w:numPr>
        <w:spacing w:before="280" w:after="120" w:line="240" w:lineRule="auto"/>
        <w:ind w:right="259"/>
      </w:pPr>
      <w:bookmarkStart w:id="109" w:name="_Toc446482325"/>
      <w:bookmarkStart w:id="110" w:name="_Toc445904466"/>
      <w:bookmarkStart w:id="111" w:name="_Toc445904191"/>
      <w:bookmarkStart w:id="112" w:name="_Toc479786228"/>
      <w:bookmarkStart w:id="113" w:name="_Toc484770707"/>
      <w:r>
        <w:t>DTSO funkcijas izpilde</w:t>
      </w:r>
      <w:bookmarkEnd w:id="109"/>
      <w:bookmarkEnd w:id="110"/>
      <w:bookmarkEnd w:id="111"/>
      <w:bookmarkEnd w:id="112"/>
      <w:bookmarkEnd w:id="113"/>
    </w:p>
    <w:p w14:paraId="55EC80DD" w14:textId="77777777" w:rsidR="0095011F" w:rsidRPr="00CB4A63" w:rsidRDefault="0095011F" w:rsidP="00764D9D">
      <w:pPr>
        <w:pStyle w:val="Virsraksts3"/>
      </w:pPr>
      <w:bookmarkStart w:id="114" w:name="_Toc479786229"/>
      <w:bookmarkStart w:id="115" w:name="_Toc484770708"/>
      <w:bookmarkStart w:id="116" w:name="_Toc446482326"/>
      <w:bookmarkStart w:id="117" w:name="_Toc445904467"/>
      <w:bookmarkStart w:id="118" w:name="_Toc445904192"/>
      <w:r>
        <w:t>DTSO funkcijas izpildes nodrošināšana</w:t>
      </w:r>
      <w:bookmarkEnd w:id="114"/>
      <w:bookmarkEnd w:id="115"/>
      <w:r>
        <w:t xml:space="preserve"> </w:t>
      </w:r>
      <w:bookmarkEnd w:id="116"/>
      <w:bookmarkEnd w:id="117"/>
      <w:bookmarkEnd w:id="118"/>
    </w:p>
    <w:p w14:paraId="6D189199" w14:textId="77777777" w:rsidR="0095011F" w:rsidRPr="00CB4A63" w:rsidRDefault="0095011F" w:rsidP="00384080">
      <w:pPr>
        <w:pStyle w:val="Virsraksts4"/>
        <w:keepNext w:val="0"/>
        <w:keepLines w:val="0"/>
        <w:numPr>
          <w:ilvl w:val="3"/>
          <w:numId w:val="28"/>
        </w:numPr>
        <w:spacing w:before="280" w:after="200" w:line="240" w:lineRule="auto"/>
        <w:ind w:left="864" w:right="259"/>
      </w:pPr>
      <w:r>
        <w:t>Ievads</w:t>
      </w:r>
    </w:p>
    <w:p w14:paraId="62968953" w14:textId="77777777" w:rsidR="0095011F" w:rsidRPr="00CB4A63" w:rsidRDefault="0095011F" w:rsidP="00384080">
      <w:pPr>
        <w:pStyle w:val="Sarakstarindkopa"/>
        <w:numPr>
          <w:ilvl w:val="0"/>
          <w:numId w:val="32"/>
        </w:numPr>
        <w:jc w:val="both"/>
      </w:pPr>
      <w:r>
        <w:t>Diennakts risinājums nodrošina funkcijas pastāvīgai pasūtījumu saskaņošanai, PSO funkcijas saistībā ar jaudas piešķiršanu, ievērojot attiecīgo pieejamo diennakts starpzonu jaudu (JVM), kā arī attiecībā uz piegādi un maksājumiem plānoto apmaiņu aprēķinus PSO (PM) un centrālajiem darījumu partneriem, lai veiktu piegādes un norēķinus starpzonu un</w:t>
      </w:r>
      <w:r>
        <w:rPr>
          <w:b/>
        </w:rPr>
        <w:t xml:space="preserve"> </w:t>
      </w:r>
      <w:r>
        <w:t xml:space="preserve">šķērspiegāžu apgabalā, kā arī veiktu tirdzniecību centrālo darījumu partneru starpā. </w:t>
      </w:r>
    </w:p>
    <w:p w14:paraId="441F20F9" w14:textId="41C30320" w:rsidR="0095011F" w:rsidRPr="00CB4A63" w:rsidRDefault="0095011F" w:rsidP="00384080">
      <w:pPr>
        <w:pStyle w:val="Sarakstarindkopa"/>
        <w:numPr>
          <w:ilvl w:val="0"/>
          <w:numId w:val="32"/>
        </w:numPr>
        <w:jc w:val="both"/>
      </w:pPr>
      <w:r>
        <w:t xml:space="preserve">Diennakts sistēma ir centralizēta sistēma, kas atbalsta starptautisko produktu tirdzniecību visu diennakti septiņas dienas nedēļā. Starptautiskos produktus atšķirībā no vietējiem produktiem var saskaņot diennakts sistēmā – vietējos produktus saskaņo vienīgi attiecīgajā LTS. </w:t>
      </w:r>
    </w:p>
    <w:p w14:paraId="7940D8E7" w14:textId="77777777" w:rsidR="0095011F" w:rsidRPr="00CB4A63" w:rsidRDefault="0095011F" w:rsidP="00384080">
      <w:pPr>
        <w:pStyle w:val="Sarakstarindkopa"/>
        <w:numPr>
          <w:ilvl w:val="0"/>
          <w:numId w:val="32"/>
        </w:numPr>
        <w:jc w:val="both"/>
      </w:pPr>
      <w:r>
        <w:t xml:space="preserve">DTSO funkcijas pamatā jābūt diennakts sistēmai, kas ietver šādus moduļus: </w:t>
      </w:r>
    </w:p>
    <w:p w14:paraId="47CE1E10" w14:textId="46DE7AE6" w:rsidR="0095011F" w:rsidRPr="00CB4A63" w:rsidRDefault="0095011F" w:rsidP="00384080">
      <w:pPr>
        <w:pStyle w:val="Sarakstarindkopa"/>
        <w:numPr>
          <w:ilvl w:val="1"/>
          <w:numId w:val="32"/>
        </w:numPr>
        <w:jc w:val="both"/>
      </w:pPr>
      <w:r>
        <w:t>kopīgo pasūtījumu reģistru, kas atbalsta D pasūtījumu apkopošanu un saskaņošanu no visām savienotajām NETO LTS, izmantojot publisko ziņojumu saskarni (turpmāk – „PZS”);</w:t>
      </w:r>
    </w:p>
    <w:p w14:paraId="4964274D" w14:textId="77777777" w:rsidR="0095011F" w:rsidRPr="00CB4A63" w:rsidRDefault="0095011F" w:rsidP="00384080">
      <w:pPr>
        <w:pStyle w:val="Sarakstarindkopa"/>
        <w:numPr>
          <w:ilvl w:val="1"/>
          <w:numId w:val="32"/>
        </w:numPr>
        <w:jc w:val="both"/>
      </w:pPr>
      <w:r>
        <w:t>jaudas vadības moduli, kas no PSO tieši apkopo jebkurā brīdī netiešai D tirdzniecībai pieejamo starpzonu jaudu un nodrošina, lai noslēgtajos D tirdzniecības darījumos tiktu ievērota šī jauda. Tas atbalsta arī tiešas starpzonu jaudas piešķiršanas funkciju, ja to pieprasa attiecīgās VPI;</w:t>
      </w:r>
    </w:p>
    <w:p w14:paraId="2244867F" w14:textId="77777777" w:rsidR="0095011F" w:rsidRPr="00CB4A63" w:rsidRDefault="0095011F" w:rsidP="00384080">
      <w:pPr>
        <w:pStyle w:val="Sarakstarindkopa"/>
        <w:numPr>
          <w:ilvl w:val="1"/>
          <w:numId w:val="32"/>
        </w:numPr>
        <w:jc w:val="both"/>
      </w:pPr>
      <w:r>
        <w:t>piegādes moduli (PM), kas veic piegādes un maksājumu plānoto apmaiņu aprēķinus PSO un centrālajiem darījumu partneriem, lai nepieciešamības gadījumā veiktu piegādes un norēķinus starpzonu un šķērspiegāžu apgabalā, kā arī veiktu tirdzniecību centrālo darījumu partneru starpā.</w:t>
      </w:r>
    </w:p>
    <w:p w14:paraId="39E88197" w14:textId="77777777" w:rsidR="0095011F" w:rsidRPr="00CB4A63" w:rsidRDefault="0095011F" w:rsidP="00384080">
      <w:pPr>
        <w:pStyle w:val="Sarakstarindkopa"/>
        <w:numPr>
          <w:ilvl w:val="0"/>
          <w:numId w:val="32"/>
        </w:numPr>
        <w:jc w:val="both"/>
      </w:pPr>
      <w:r>
        <w:t xml:space="preserve">Diennakts starpzonu saskaņošanas pamatā jābūt šādiem principiem: </w:t>
      </w:r>
    </w:p>
    <w:p w14:paraId="27C05453" w14:textId="77777777" w:rsidR="0095011F" w:rsidRPr="00CB4A63" w:rsidRDefault="0095011F" w:rsidP="00384080">
      <w:pPr>
        <w:pStyle w:val="Sarakstarindkopa"/>
        <w:numPr>
          <w:ilvl w:val="1"/>
          <w:numId w:val="32"/>
        </w:numPr>
        <w:jc w:val="both"/>
      </w:pPr>
      <w:r>
        <w:t>apkalpošana rindas kārtībā – vispirms tiek apkalpoti pasūtījumi ar augstāko pirkšanas cenu un zemāko pārdošanas cenu, ievērojot arī starpzonu jaudas ierobežojumus, ja Pasūtījumi ir dažādās solīšanas zonās;</w:t>
      </w:r>
    </w:p>
    <w:p w14:paraId="186FBF29" w14:textId="77777777" w:rsidR="0095011F" w:rsidRPr="00CB4A63" w:rsidRDefault="0095011F" w:rsidP="00384080">
      <w:pPr>
        <w:pStyle w:val="Sarakstarindkopa"/>
        <w:numPr>
          <w:ilvl w:val="1"/>
          <w:numId w:val="32"/>
        </w:numPr>
        <w:jc w:val="both"/>
      </w:pPr>
      <w:r>
        <w:t>starpzonu jauda un pasūtījumu reģistri (PR) tiek vienlaicīgi pastāvīgi atjaunināti attiecīgi JVM un KPR, pamatojoties uz pēdējo pasūtījumu saskaņošanu un pasūtījumu izveidi, pārveidošanu un dzēšanu, kā arī PSO veiktajiem jaudas uzlabojumiem.</w:t>
      </w:r>
    </w:p>
    <w:p w14:paraId="1205348E" w14:textId="07A05491" w:rsidR="0095011F" w:rsidRPr="00CB4A63" w:rsidRDefault="0095011F" w:rsidP="00384080">
      <w:pPr>
        <w:pStyle w:val="Sarakstarindkopa"/>
        <w:numPr>
          <w:ilvl w:val="1"/>
          <w:numId w:val="32"/>
        </w:numPr>
        <w:jc w:val="both"/>
      </w:pPr>
      <w:r>
        <w:t xml:space="preserve">turklāt šādus vienlaicīgus atjauninājumus katrā solīšanas zonā un atsevišķām NETO LTS, kas savienotas ar diennakts risinājuma, nodrošina, vienīgi izmantojot centrālo diennakts sistēmu;   </w:t>
      </w:r>
    </w:p>
    <w:p w14:paraId="6CBDE8F3" w14:textId="77777777" w:rsidR="0095011F" w:rsidRPr="00CB4A63" w:rsidRDefault="0095011F" w:rsidP="00384080">
      <w:pPr>
        <w:pStyle w:val="Sarakstarindkopa"/>
        <w:numPr>
          <w:ilvl w:val="1"/>
          <w:numId w:val="32"/>
        </w:numPr>
        <w:jc w:val="both"/>
      </w:pPr>
      <w:r>
        <w:t xml:space="preserve">ievades dati (pasūtījumi) saskaņošanai, kas iesniegti no dažādām NETO LTS, ir centralizēti vienā KPR, lai varētu veikt pilnīgu saskaņošanu savienoto PR starpā un veikt apvienošanu ar tiešiem jaudas piešķiršanas pieprasījumiem saistībā ar pieejamās starpzonu jaudas izmantošanu caur JVM;  </w:t>
      </w:r>
    </w:p>
    <w:p w14:paraId="4C9EA96A" w14:textId="77777777" w:rsidR="0095011F" w:rsidRPr="00CB4A63" w:rsidRDefault="0095011F" w:rsidP="00384080">
      <w:pPr>
        <w:pStyle w:val="Sarakstarindkopa"/>
        <w:numPr>
          <w:ilvl w:val="1"/>
          <w:numId w:val="32"/>
        </w:numPr>
        <w:jc w:val="both"/>
      </w:pPr>
      <w:r>
        <w:t>PSO padara ievades datus pieejamus saskaņošanai JVM kā diennakts starpzonu jaudu starp solīšanas zonām;</w:t>
      </w:r>
    </w:p>
    <w:p w14:paraId="7DD61A26" w14:textId="77777777" w:rsidR="0095011F" w:rsidRPr="00CB4A63" w:rsidRDefault="0095011F" w:rsidP="00384080">
      <w:pPr>
        <w:pStyle w:val="Sarakstarindkopa"/>
        <w:numPr>
          <w:ilvl w:val="1"/>
          <w:numId w:val="32"/>
        </w:numPr>
        <w:jc w:val="both"/>
      </w:pPr>
      <w:r>
        <w:t xml:space="preserve">visi ievades dati saistībā ar piedāvātajām cenām/piedāvājumiem, kas iegūti no attiecīgām atsevišķām NETO LTS, tiek kopīgoti KPR pilnīgi anonīmi, lai garantētu, ka abi konkurējošie NETO nezina, kuri ar citiem NETO saistītie tirgus dalībnieki veic individuālus </w:t>
      </w:r>
      <w:r>
        <w:lastRenderedPageBreak/>
        <w:t>pasūtījumus un lai kopumā aizsargātu individuālu tirgus dalībnieku pasūtījumu konfidencialitāti;</w:t>
      </w:r>
    </w:p>
    <w:p w14:paraId="19B6316C" w14:textId="77777777" w:rsidR="00AF626D" w:rsidRPr="00CB4A63" w:rsidRDefault="00AF626D" w:rsidP="00AF626D">
      <w:pPr>
        <w:pStyle w:val="Sarakstarindkopa"/>
        <w:numPr>
          <w:ilvl w:val="1"/>
          <w:numId w:val="32"/>
        </w:numPr>
        <w:jc w:val="both"/>
      </w:pPr>
      <w:r>
        <w:t>risinājums būs izstrādāts tā, lai īstenotu iespējamās diennakts izsoles saskaņā ar CACM regulas 63. pantu un jaudas cenu saskaņā ar CACM regulas 55. pantu.</w:t>
      </w:r>
    </w:p>
    <w:p w14:paraId="7D92BB65" w14:textId="77777777" w:rsidR="0095011F" w:rsidRPr="00CB4A63" w:rsidRDefault="0095011F" w:rsidP="00384080">
      <w:pPr>
        <w:pStyle w:val="Sarakstarindkopa"/>
        <w:numPr>
          <w:ilvl w:val="0"/>
          <w:numId w:val="32"/>
        </w:numPr>
        <w:jc w:val="both"/>
      </w:pPr>
      <w:r>
        <w:t xml:space="preserve">Diennakts risinājumam nepieciešams arī ieviest saskarnes starp diennakts sistēmu un citām NETO un PSO sistēmām. Tas ietver šādas saskarnes: </w:t>
      </w:r>
    </w:p>
    <w:p w14:paraId="012C169E" w14:textId="77777777" w:rsidR="0095011F" w:rsidRPr="00CB4A63" w:rsidRDefault="0095011F" w:rsidP="00384080">
      <w:pPr>
        <w:pStyle w:val="Sarakstarindkopa"/>
        <w:numPr>
          <w:ilvl w:val="1"/>
          <w:numId w:val="32"/>
        </w:numPr>
        <w:jc w:val="both"/>
      </w:pPr>
      <w:r>
        <w:t>ar NETO VTS. KPR apstrādā anonimizētos pasūtījumus ar JVM atbalstu:</w:t>
      </w:r>
    </w:p>
    <w:p w14:paraId="136C67DE" w14:textId="77777777" w:rsidR="0095011F" w:rsidRPr="00CB4A63" w:rsidRDefault="0095011F" w:rsidP="00384080">
      <w:pPr>
        <w:pStyle w:val="Sarakstarindkopa"/>
        <w:numPr>
          <w:ilvl w:val="2"/>
          <w:numId w:val="32"/>
        </w:numPr>
        <w:jc w:val="both"/>
      </w:pPr>
      <w:r>
        <w:t xml:space="preserve">lai pārdotu starptautiskos produktus, tirgus dalībnieki nepieslēdzas KPR tieši, bet caur vienu vai vairākām NETO VTS; </w:t>
      </w:r>
    </w:p>
    <w:p w14:paraId="40D97987" w14:textId="77777777" w:rsidR="0095011F" w:rsidRPr="00CB4A63" w:rsidRDefault="0095011F" w:rsidP="00384080">
      <w:pPr>
        <w:pStyle w:val="Sarakstarindkopa"/>
        <w:numPr>
          <w:ilvl w:val="2"/>
          <w:numId w:val="32"/>
        </w:numPr>
        <w:jc w:val="both"/>
      </w:pPr>
      <w:r>
        <w:t xml:space="preserve">starptautisko produktu pasūtījumi tiek ievadīti NETO VTS, kas savukārt ar publiskās ziņojumu saskarnes palīdzību savienojas ar KPR, tikai izmantojot diennaktij atvēlētu MPLS tīklu, lai pārsūtītu starptautisko produktu pasūtījumus un saņemtu starptautiskos tirdzniecības darījumus; </w:t>
      </w:r>
    </w:p>
    <w:p w14:paraId="72181921" w14:textId="77777777" w:rsidR="0095011F" w:rsidRPr="00CB4A63" w:rsidRDefault="0095011F" w:rsidP="00384080">
      <w:pPr>
        <w:pStyle w:val="Sarakstarindkopa"/>
        <w:numPr>
          <w:ilvl w:val="2"/>
          <w:numId w:val="32"/>
        </w:numPr>
        <w:jc w:val="both"/>
      </w:pPr>
      <w:r>
        <w:t xml:space="preserve">starptautisko pasūtījumu saskaņošana tiek veikta KPR neatkarīgi no tā, vai starptautiskie pasūtījumi ir ievietoti tajā pašā solīšanas zonā vai dažādās piegādes zonās; </w:t>
      </w:r>
    </w:p>
    <w:p w14:paraId="2188EA7F" w14:textId="77777777" w:rsidR="0095011F" w:rsidRPr="00CB4A63" w:rsidRDefault="0095011F" w:rsidP="00384080">
      <w:pPr>
        <w:pStyle w:val="Sarakstarindkopa"/>
        <w:numPr>
          <w:ilvl w:val="2"/>
          <w:numId w:val="32"/>
        </w:numPr>
        <w:jc w:val="both"/>
      </w:pPr>
      <w:r>
        <w:t xml:space="preserve">vietējo pasūtījumu saskaņošana tiek veikta NETO VTS, un tā neveido diennakts sistēmas vai DTSO funkcijas daļu; </w:t>
      </w:r>
    </w:p>
    <w:p w14:paraId="1C98C602" w14:textId="77777777" w:rsidR="0095011F" w:rsidRPr="00CB4A63" w:rsidRDefault="0095011F" w:rsidP="00384080">
      <w:pPr>
        <w:pStyle w:val="Sarakstarindkopa"/>
        <w:numPr>
          <w:ilvl w:val="2"/>
          <w:numId w:val="32"/>
        </w:numPr>
        <w:jc w:val="both"/>
      </w:pPr>
      <w:r>
        <w:t xml:space="preserve">KPR modulis uztur vienotu pasūtījumu reģistru ar visiem starptautiskajiem pasūtījumiem (bet ne ar vietējiem pasūtījumiem); </w:t>
      </w:r>
    </w:p>
    <w:p w14:paraId="2BF0F339" w14:textId="77777777" w:rsidR="0095011F" w:rsidRPr="00CB4A63" w:rsidRDefault="0095011F" w:rsidP="00384080">
      <w:pPr>
        <w:pStyle w:val="Sarakstarindkopa"/>
        <w:numPr>
          <w:ilvl w:val="1"/>
          <w:numId w:val="32"/>
        </w:numPr>
        <w:jc w:val="both"/>
      </w:pPr>
      <w:r>
        <w:t xml:space="preserve">ar PSO, lai PSO nodrošinātu un saņemtu attiecīgo informāciju procesos pirms un pēc sasaistes; </w:t>
      </w:r>
    </w:p>
    <w:p w14:paraId="55AFA9E6" w14:textId="77777777" w:rsidR="0095011F" w:rsidRPr="00CB4A63" w:rsidRDefault="0095011F" w:rsidP="00384080">
      <w:pPr>
        <w:pStyle w:val="Sarakstarindkopa"/>
        <w:numPr>
          <w:ilvl w:val="1"/>
          <w:numId w:val="32"/>
        </w:numPr>
        <w:jc w:val="both"/>
      </w:pPr>
      <w:r>
        <w:t xml:space="preserve">ar tirgus dalībniekiem, lai veiktu tiešu starpzonu jaudas piešķiršanu, ja to pieprasa attiecīgās VPI; </w:t>
      </w:r>
    </w:p>
    <w:p w14:paraId="4F15AE60" w14:textId="77777777" w:rsidR="0095011F" w:rsidRPr="00CB4A63" w:rsidRDefault="0095011F" w:rsidP="00384080">
      <w:pPr>
        <w:pStyle w:val="Sarakstarindkopa"/>
        <w:numPr>
          <w:ilvl w:val="1"/>
          <w:numId w:val="32"/>
        </w:numPr>
        <w:jc w:val="both"/>
      </w:pPr>
      <w:r>
        <w:t>ar centrālajiem darījumu partneriem, kas rīkojas saskaņā ar NETO atbildību nodrošināt saskaņoto pasūtījumu klīringu un veikt norēķinus par tiem, kā norādīts CACM regulas 68. pantā.</w:t>
      </w:r>
    </w:p>
    <w:p w14:paraId="0DCF8034" w14:textId="3FBCF1E8" w:rsidR="0095011F" w:rsidRPr="00CB4A63" w:rsidRDefault="00F81AE3" w:rsidP="00384080">
      <w:pPr>
        <w:pStyle w:val="Sarakstarindkopa"/>
        <w:numPr>
          <w:ilvl w:val="0"/>
          <w:numId w:val="32"/>
        </w:numPr>
        <w:jc w:val="both"/>
      </w:pPr>
      <w:r>
        <w:t xml:space="preserve">Visbeidzot katram NETO, kas aktīvi piedalās vienotā diennakts sasaistē, jānodrošina piekļuve/savienojums ar KPR no pašu izvēlētās LTS, izmantojot PZS/programmsaskarnes (application programming interface –API) risinājumu, kas nodrošina vienlīdzīgu piekļuvi un sniegumu KPR/JVM pasūtījumu saskaņošanas procesā. </w:t>
      </w:r>
    </w:p>
    <w:p w14:paraId="6C7610DF" w14:textId="77777777" w:rsidR="000A0686" w:rsidRPr="00CB4A63" w:rsidRDefault="000A0686" w:rsidP="00384080">
      <w:pPr>
        <w:pStyle w:val="Sarakstarindkopa"/>
        <w:numPr>
          <w:ilvl w:val="0"/>
          <w:numId w:val="32"/>
        </w:numPr>
        <w:jc w:val="both"/>
      </w:pPr>
      <w:r>
        <w:t xml:space="preserve">Diennakts sistēmas piegādātājs nodrošina sistēmas, kas atbilst PSO prasībām un kas nav DTSO funkcijas daļa, un NETO tās kā līgumpakalpojumu nodrošinās visiem PSO, kas ir aktīvi vienotajā diennakts sasaistē. Tas ietver JVM, PM un skaidri noteiktas jaudas funkciju, kas ļauj PSO piešķirt pieejamo starpzonu jaudu tiem dalībniekiem, kas to pieprasa, ja VPI pieprasa šādu kārtību saskaņā ar CACM regulu. </w:t>
      </w:r>
    </w:p>
    <w:p w14:paraId="08722DE1" w14:textId="77777777" w:rsidR="0095011F" w:rsidRPr="00CB4A63" w:rsidRDefault="0095011F" w:rsidP="00384080">
      <w:pPr>
        <w:pStyle w:val="Virsraksts4"/>
        <w:keepNext w:val="0"/>
        <w:keepLines w:val="0"/>
        <w:numPr>
          <w:ilvl w:val="3"/>
          <w:numId w:val="28"/>
        </w:numPr>
        <w:spacing w:before="280" w:after="200" w:line="240" w:lineRule="auto"/>
        <w:ind w:left="864" w:right="259"/>
      </w:pPr>
      <w:r>
        <w:t>Starpzonu sasaiste pastāvīgas tirdzniecības periodā</w:t>
      </w:r>
    </w:p>
    <w:p w14:paraId="1F56D5C0" w14:textId="77777777" w:rsidR="0095011F" w:rsidRPr="00CB4A63" w:rsidRDefault="0095011F" w:rsidP="00384080">
      <w:pPr>
        <w:pStyle w:val="Sarakstarindkopa"/>
        <w:numPr>
          <w:ilvl w:val="0"/>
          <w:numId w:val="33"/>
        </w:numPr>
        <w:jc w:val="both"/>
      </w:pPr>
      <w:r>
        <w:t xml:space="preserve">Tirdzniecības periods sastāv no secīgiem procesa soļiem, kuros jāievēro norunātie termiņi: </w:t>
      </w:r>
    </w:p>
    <w:p w14:paraId="6152E563" w14:textId="77777777" w:rsidR="0095011F" w:rsidRPr="00CB4A63" w:rsidRDefault="0095011F" w:rsidP="00384080">
      <w:pPr>
        <w:pStyle w:val="Sarakstarindkopa"/>
        <w:numPr>
          <w:ilvl w:val="1"/>
          <w:numId w:val="33"/>
        </w:numPr>
        <w:jc w:val="both"/>
      </w:pPr>
      <w:r>
        <w:t xml:space="preserve">Visi NETO, kas savienojušies ar KPR/JVM, izmantojot kopīgo API un pašu izvēlēto LTS, varēs pastāvīgi ievadīt pasūtījumus KPR un pārveidot šos pasūtījumus, kamēr instruments ir atvērts tirdzniecībai. </w:t>
      </w:r>
    </w:p>
    <w:p w14:paraId="44370179" w14:textId="77777777" w:rsidR="0095011F" w:rsidRPr="00CB4A63" w:rsidRDefault="0095011F" w:rsidP="00384080">
      <w:pPr>
        <w:pStyle w:val="Sarakstarindkopa"/>
        <w:numPr>
          <w:ilvl w:val="1"/>
          <w:numId w:val="33"/>
        </w:numPr>
        <w:jc w:val="both"/>
      </w:pPr>
      <w:r>
        <w:t>Attiecīgie PSO padara starpzonu D jaudu pastāvīgi pieejamu caur JVM no starpzonu vārtu atvēršanās laika līdz norunātajam laikam katrā solīšanas zonā līdz solīšanas zonas robežai, kad starpzonu D jaudu piegādes periodā vairs nevar mainīt.</w:t>
      </w:r>
    </w:p>
    <w:p w14:paraId="0D405820" w14:textId="77777777" w:rsidR="0095011F" w:rsidRPr="00CB4A63" w:rsidRDefault="0095011F" w:rsidP="00384080">
      <w:pPr>
        <w:pStyle w:val="Sarakstarindkopa"/>
        <w:numPr>
          <w:ilvl w:val="1"/>
          <w:numId w:val="33"/>
        </w:numPr>
        <w:jc w:val="both"/>
      </w:pPr>
      <w:r>
        <w:lastRenderedPageBreak/>
        <w:t xml:space="preserve">Visi diennakts sistēmas līdzekļi tiek pastāvīgi pārdoti katru kalendāro dienu atbilstoši saskaņošanas noteikumiem. </w:t>
      </w:r>
    </w:p>
    <w:p w14:paraId="78817CF1" w14:textId="77777777" w:rsidR="0095011F" w:rsidRPr="00CB4A63" w:rsidRDefault="0095011F" w:rsidP="00384080">
      <w:pPr>
        <w:pStyle w:val="Sarakstarindkopa"/>
        <w:numPr>
          <w:ilvl w:val="1"/>
          <w:numId w:val="33"/>
        </w:numPr>
        <w:jc w:val="both"/>
      </w:pPr>
      <w:r>
        <w:t>Visi NETO piekrīt ievērot izpildes noteikumus, kas pieejami diennakts sistēmā; diennakts sistēmas piegādātājs tos papildus precizēs saskaņā ar TSO plāna 7.2. punktu, kā arī to ieviesīs un atklāti izklāstīs.</w:t>
      </w:r>
    </w:p>
    <w:p w14:paraId="1AA32808" w14:textId="3F40237A" w:rsidR="0095011F" w:rsidRPr="00CB4A63" w:rsidRDefault="0095011F" w:rsidP="00384080">
      <w:pPr>
        <w:pStyle w:val="Sarakstarindkopa"/>
        <w:numPr>
          <w:ilvl w:val="1"/>
          <w:numId w:val="33"/>
        </w:numPr>
        <w:jc w:val="both"/>
      </w:pPr>
      <w:r>
        <w:t xml:space="preserve">PM regulāros intervālos izskaitļo un nosūta neto pozīcijas, kā arī starpzonu un piegādes zonu informāciju attiecīgajām pusēm, lai būtu iespējams veikt norēķinus. </w:t>
      </w:r>
    </w:p>
    <w:p w14:paraId="004385C4" w14:textId="77777777" w:rsidR="0095011F" w:rsidRPr="00CB4A63" w:rsidRDefault="0095011F" w:rsidP="00384080">
      <w:pPr>
        <w:pStyle w:val="Sarakstarindkopa"/>
        <w:numPr>
          <w:ilvl w:val="1"/>
          <w:numId w:val="33"/>
        </w:numPr>
        <w:jc w:val="both"/>
      </w:pPr>
      <w:r>
        <w:t>Katrs PSO atsevišķi vai saskaņoti ar citiem PSO veic savas procedūras, kas nepieciešamas starpzonu plānošanai (no solīšanas zonas uz solīšanas zonu vai solīšanas starpzonu, kurā solīšanas zonas ietvaros ir vairākas piegādes zonas). Plānošanas pamatā ir PM un/vai JVM izvade, un tajā jāievēro saskaņotie pasūtījumi.</w:t>
      </w:r>
    </w:p>
    <w:p w14:paraId="396F4EED" w14:textId="77777777" w:rsidR="0095011F" w:rsidRPr="00CB4A63" w:rsidRDefault="0095011F" w:rsidP="00384080">
      <w:pPr>
        <w:pStyle w:val="Virsraksts4"/>
        <w:keepNext w:val="0"/>
        <w:keepLines w:val="0"/>
        <w:numPr>
          <w:ilvl w:val="3"/>
          <w:numId w:val="28"/>
        </w:numPr>
        <w:spacing w:before="280" w:after="200" w:line="240" w:lineRule="auto"/>
        <w:ind w:left="864" w:right="259"/>
      </w:pPr>
      <w:r>
        <w:t>Diennakts tirgus sasaistes rezultātu apstiprināšana</w:t>
      </w:r>
    </w:p>
    <w:p w14:paraId="7E339FB4" w14:textId="77777777" w:rsidR="0095011F" w:rsidRPr="00CB4A63" w:rsidRDefault="0095011F" w:rsidP="00384080">
      <w:pPr>
        <w:pStyle w:val="Sarakstarindkopa"/>
        <w:numPr>
          <w:ilvl w:val="0"/>
          <w:numId w:val="34"/>
        </w:numPr>
        <w:jc w:val="both"/>
      </w:pPr>
      <w:r>
        <w:t xml:space="preserve">Saskaņošanas algoritma veiktā apstiprināšana pārliecinās, vai visi tīkla ierobežojumi un īpašības (cena, apjoms, ilgums u. c.), kā arī pasūtījumu saskaņošanas noteikumi tiek ievēroti, nosakot pasūtījumu saskaņošanas un cenu noteikšanas rezultātus. </w:t>
      </w:r>
    </w:p>
    <w:p w14:paraId="1D82C12A" w14:textId="77777777" w:rsidR="0095011F" w:rsidRPr="00CB4A63" w:rsidRDefault="0095011F" w:rsidP="00384080">
      <w:pPr>
        <w:pStyle w:val="Virsraksts4"/>
        <w:keepNext w:val="0"/>
        <w:keepLines w:val="0"/>
        <w:numPr>
          <w:ilvl w:val="3"/>
          <w:numId w:val="28"/>
        </w:numPr>
        <w:spacing w:before="280" w:after="200" w:line="240" w:lineRule="auto"/>
        <w:ind w:left="864" w:right="259"/>
      </w:pPr>
      <w:r>
        <w:t>NETO uzdoto uzdevumu deleģēšana diennakts tirgus sasaistē</w:t>
      </w:r>
      <w:r>
        <w:tab/>
      </w:r>
    </w:p>
    <w:p w14:paraId="3C393D01" w14:textId="23896E0F" w:rsidR="0095011F" w:rsidRPr="00CB4A63" w:rsidRDefault="003A353F" w:rsidP="00384080">
      <w:pPr>
        <w:pStyle w:val="Sarakstarindkopa"/>
        <w:numPr>
          <w:ilvl w:val="0"/>
          <w:numId w:val="35"/>
        </w:numPr>
        <w:jc w:val="both"/>
      </w:pPr>
      <w:r>
        <w:t xml:space="preserve">Saskaņā ar CACM regulas 81. pantu NETO var deleģēt saskaņā ar CACM regulu uzdotos uzdevumus. NETO D darbības līgums nedrīkst aizliegt, ka viens NETO (apkalpojošais NETO) veic pakalpojumus cita NETO (apkalpotais NETO) vietā D darbību vidē, ja šāda vienošanās ievēro visas piemērojamajos līgumos noteiktās juridiskās un tehniskās prasības. </w:t>
      </w:r>
    </w:p>
    <w:p w14:paraId="7AE6138B" w14:textId="77777777" w:rsidR="0095011F" w:rsidRPr="00CB4A63" w:rsidRDefault="0095011F" w:rsidP="006E2E89">
      <w:pPr>
        <w:pStyle w:val="Virsraksts2"/>
        <w:keepNext w:val="0"/>
        <w:keepLines w:val="0"/>
        <w:numPr>
          <w:ilvl w:val="1"/>
          <w:numId w:val="28"/>
        </w:numPr>
        <w:spacing w:before="280" w:after="120" w:line="240" w:lineRule="auto"/>
        <w:ind w:right="259"/>
      </w:pPr>
      <w:bookmarkStart w:id="119" w:name="_Toc479786230"/>
      <w:bookmarkStart w:id="120" w:name="_Toc484770709"/>
      <w:bookmarkStart w:id="121" w:name="_Toc446482327"/>
      <w:bookmarkStart w:id="122" w:name="_Toc445904468"/>
      <w:bookmarkStart w:id="123" w:name="_Toc445904193"/>
      <w:r>
        <w:t>D saskaņošanas koncepcija</w:t>
      </w:r>
      <w:bookmarkEnd w:id="119"/>
      <w:bookmarkEnd w:id="120"/>
      <w:r>
        <w:t xml:space="preserve"> </w:t>
      </w:r>
      <w:bookmarkEnd w:id="121"/>
      <w:bookmarkEnd w:id="122"/>
      <w:bookmarkEnd w:id="123"/>
    </w:p>
    <w:p w14:paraId="6788C6F0" w14:textId="77777777" w:rsidR="0095011F" w:rsidRPr="00CB4A63" w:rsidRDefault="0095011F" w:rsidP="00384080">
      <w:pPr>
        <w:pStyle w:val="Sarakstarindkopa"/>
        <w:numPr>
          <w:ilvl w:val="0"/>
          <w:numId w:val="36"/>
        </w:numPr>
        <w:jc w:val="both"/>
      </w:pPr>
      <w:bookmarkStart w:id="124" w:name="_Toc421715204"/>
      <w:bookmarkStart w:id="125" w:name="_Ref370222971"/>
      <w:r>
        <w:t>Saskaņošana pastāvīgā tirdzniecībā:</w:t>
      </w:r>
      <w:bookmarkEnd w:id="124"/>
      <w:bookmarkEnd w:id="125"/>
    </w:p>
    <w:p w14:paraId="0544C061" w14:textId="77777777" w:rsidR="0095011F" w:rsidRPr="00CB4A63" w:rsidRDefault="0095011F" w:rsidP="00384080">
      <w:pPr>
        <w:pStyle w:val="Sarakstarindkopa"/>
        <w:numPr>
          <w:ilvl w:val="1"/>
          <w:numId w:val="36"/>
        </w:numPr>
        <w:jc w:val="both"/>
      </w:pPr>
      <w:r>
        <w:t>saskaņošanas process pastāvīgās tirdzniecības saskaņošanas algoritmā ir noteikts;</w:t>
      </w:r>
    </w:p>
    <w:p w14:paraId="3994FEE3" w14:textId="77777777" w:rsidR="0095011F" w:rsidRPr="00CB4A63" w:rsidRDefault="0095011F" w:rsidP="00384080">
      <w:pPr>
        <w:pStyle w:val="Sarakstarindkopa"/>
        <w:numPr>
          <w:ilvl w:val="1"/>
          <w:numId w:val="36"/>
        </w:numPr>
        <w:jc w:val="both"/>
      </w:pPr>
      <w:r>
        <w:t xml:space="preserve">termins „pasūtījumu saskaņošana” tiek izmantots, lai apzīmētu tirdzniecības darījuma izveidi, kura pamatā ir pirkšanas un pārdošanas pasūtījums ar saderīgām izpildes īpašībām. </w:t>
      </w:r>
    </w:p>
    <w:p w14:paraId="24032667" w14:textId="77777777" w:rsidR="0095011F" w:rsidRPr="00CB4A63" w:rsidRDefault="0095011F" w:rsidP="00384080">
      <w:pPr>
        <w:pStyle w:val="Sarakstarindkopa"/>
        <w:numPr>
          <w:ilvl w:val="0"/>
          <w:numId w:val="36"/>
        </w:numPr>
        <w:jc w:val="both"/>
      </w:pPr>
      <w:bookmarkStart w:id="126" w:name="_Toc421715207"/>
      <w:bookmarkStart w:id="127" w:name="_Ref401672398"/>
      <w:bookmarkStart w:id="128" w:name="_Ref401672396"/>
      <w:r>
        <w:t>Izpildes prioritāte</w:t>
      </w:r>
      <w:bookmarkEnd w:id="126"/>
      <w:bookmarkEnd w:id="127"/>
      <w:bookmarkEnd w:id="128"/>
      <w:r>
        <w:t xml:space="preserve"> – pasūtījumu izpildes pamatā ir cenas-laika-prioritātes princips: </w:t>
      </w:r>
    </w:p>
    <w:p w14:paraId="27E51263" w14:textId="77777777" w:rsidR="0095011F" w:rsidRPr="00CB4A63" w:rsidRDefault="0095011F" w:rsidP="00384080">
      <w:pPr>
        <w:pStyle w:val="Sarakstarindkopa"/>
        <w:numPr>
          <w:ilvl w:val="1"/>
          <w:numId w:val="36"/>
        </w:numPr>
        <w:jc w:val="both"/>
      </w:pPr>
      <w:r>
        <w:t xml:space="preserve">cena – pasūtījumi vienmēr tiek izpildīti par labāko cenu. Labākais pirkšanas pasūtījums vienmēr vispirms tiek veikts attiecībā pret labāko pirkšanas pasūtījumu (labākā cena pirkšanas pasūtījumiem ir augstākā cena, bet pārdošanas pasūtījumiem –zemākā cena); </w:t>
      </w:r>
    </w:p>
    <w:p w14:paraId="19FF390F" w14:textId="77777777" w:rsidR="0095011F" w:rsidRPr="00CB4A63" w:rsidRDefault="0095011F" w:rsidP="00384080">
      <w:pPr>
        <w:pStyle w:val="Sarakstarindkopa"/>
        <w:numPr>
          <w:ilvl w:val="1"/>
          <w:numId w:val="36"/>
        </w:numPr>
        <w:jc w:val="both"/>
      </w:pPr>
      <w:r>
        <w:t xml:space="preserve">laiks – kad pasūtījums ir ievadīts KPR, tam tiek piešķirts laikspiedols. Šis laikspiedols tiek izmantots, lai noteiktu prioritāti pasūtījumiem ar to pašu cenu robežu. Pasūtījumi ar agrākiem laikspiedoliem tiek izpildīti ar augstāku prioritāti nekā pasūtījumi ar vēlāku laikspiedolu. </w:t>
      </w:r>
    </w:p>
    <w:p w14:paraId="6F3CA6CC" w14:textId="77777777" w:rsidR="0095011F" w:rsidRPr="00CB4A63" w:rsidRDefault="0095011F" w:rsidP="00384080">
      <w:pPr>
        <w:pStyle w:val="Sarakstarindkopa"/>
        <w:numPr>
          <w:ilvl w:val="0"/>
          <w:numId w:val="36"/>
        </w:numPr>
        <w:jc w:val="both"/>
      </w:pPr>
      <w:bookmarkStart w:id="129" w:name="_Toc421715208"/>
      <w:bookmarkStart w:id="130" w:name="_Ref404177059"/>
      <w:bookmarkStart w:id="131" w:name="_Ref404177057"/>
      <w:r>
        <w:t>Cenu noteikšana:</w:t>
      </w:r>
      <w:bookmarkEnd w:id="129"/>
      <w:bookmarkEnd w:id="130"/>
      <w:bookmarkEnd w:id="131"/>
    </w:p>
    <w:p w14:paraId="04D7E2B7" w14:textId="77777777" w:rsidR="0095011F" w:rsidRPr="00CB4A63" w:rsidRDefault="0095011F" w:rsidP="00384080">
      <w:pPr>
        <w:pStyle w:val="Sarakstarindkopa"/>
        <w:numPr>
          <w:ilvl w:val="1"/>
          <w:numId w:val="36"/>
        </w:numPr>
        <w:jc w:val="both"/>
      </w:pPr>
      <w:r>
        <w:t>cena, kurā ir saskaņoti divi pasūtījumi, ir tirdzniecības darījuma cena;</w:t>
      </w:r>
    </w:p>
    <w:p w14:paraId="69212AAB" w14:textId="77777777" w:rsidR="0095011F" w:rsidRPr="00CB4A63" w:rsidRDefault="0095011F" w:rsidP="00384080">
      <w:pPr>
        <w:pStyle w:val="Sarakstarindkopa"/>
        <w:numPr>
          <w:ilvl w:val="1"/>
          <w:numId w:val="36"/>
        </w:numPr>
        <w:jc w:val="both"/>
      </w:pPr>
      <w:r>
        <w:t>kad divi pasūtījumi tiek saskaņoti pastāvīgā tirdzniecībā, vienam no šiem pasūtījumiem vienmēr jābūt no jauna ievadītam vai pārveidotam esošam pasūtījumam;</w:t>
      </w:r>
    </w:p>
    <w:p w14:paraId="386ED80F" w14:textId="77777777" w:rsidR="0095011F" w:rsidRPr="00CB4A63" w:rsidRDefault="0095011F" w:rsidP="00384080">
      <w:pPr>
        <w:pStyle w:val="Sarakstarindkopa"/>
        <w:numPr>
          <w:ilvl w:val="1"/>
          <w:numId w:val="36"/>
        </w:numPr>
        <w:jc w:val="both"/>
      </w:pPr>
      <w:r>
        <w:t>tirdzniecības darījuma cena ir pasūtījuma cena labākajam pasūtījumam, kas jau ir ievadīts KPR:</w:t>
      </w:r>
    </w:p>
    <w:p w14:paraId="0F638D8C" w14:textId="77777777" w:rsidR="0095011F" w:rsidRPr="00CB4A63" w:rsidRDefault="0095011F" w:rsidP="00384080">
      <w:pPr>
        <w:pStyle w:val="Sarakstarindkopa"/>
        <w:numPr>
          <w:ilvl w:val="2"/>
          <w:numId w:val="36"/>
        </w:numPr>
        <w:jc w:val="both"/>
      </w:pPr>
      <w:r>
        <w:lastRenderedPageBreak/>
        <w:t>ja no jauna ievadīts pirkšanas pasūtījums tiek saskaņots attiecībā pret esošu pārdošanas pasūtījumu, pārdošanas pasūtījuma cenas robeža kļūst par tirdzniecības darījuma izpildes cenu;</w:t>
      </w:r>
    </w:p>
    <w:p w14:paraId="7939DC05" w14:textId="77777777" w:rsidR="0095011F" w:rsidRPr="00CB4A63" w:rsidRDefault="0095011F" w:rsidP="00384080">
      <w:pPr>
        <w:pStyle w:val="Sarakstarindkopa"/>
        <w:numPr>
          <w:ilvl w:val="2"/>
          <w:numId w:val="36"/>
        </w:numPr>
        <w:jc w:val="both"/>
      </w:pPr>
      <w:r>
        <w:t>ja no jauna ievadīts pārdošanas pasūtījums tiek saskaņots attiecībā pret esošu pirkšanas pasūtījumu, pirkšanas pasūtījuma cenas robeža kļūst par tirdzniecības darījuma izpildes cenu.</w:t>
      </w:r>
    </w:p>
    <w:p w14:paraId="3BBA9371" w14:textId="77777777" w:rsidR="0095011F" w:rsidRPr="00CB4A63" w:rsidRDefault="0095011F" w:rsidP="00384080">
      <w:pPr>
        <w:pStyle w:val="Sarakstarindkopa"/>
        <w:numPr>
          <w:ilvl w:val="0"/>
          <w:numId w:val="36"/>
        </w:numPr>
        <w:jc w:val="both"/>
      </w:pPr>
      <w:bookmarkStart w:id="132" w:name="_Toc421715209"/>
      <w:r>
        <w:t>Saskaņošanas process:</w:t>
      </w:r>
      <w:bookmarkEnd w:id="132"/>
    </w:p>
    <w:p w14:paraId="7FB737FA" w14:textId="77777777" w:rsidR="0095011F" w:rsidRPr="00CB4A63" w:rsidRDefault="0095011F" w:rsidP="00384080">
      <w:pPr>
        <w:pStyle w:val="Sarakstarindkopa"/>
        <w:numPr>
          <w:ilvl w:val="1"/>
          <w:numId w:val="36"/>
        </w:numPr>
        <w:jc w:val="both"/>
      </w:pPr>
      <w:r>
        <w:t>saskaņošanas process parasti sākas ar pasūtījuma ievadīšanu. No jauna ievadīts pasūtījums tiek izpildīts nekavējoties, ja KPR jau pastāv cits pasūtījums ar pretējo pusi tam pašam līgumam un par krustotu cenu (</w:t>
      </w:r>
      <w:r>
        <w:rPr>
          <w:i/>
        </w:rPr>
        <w:t>crossed price</w:t>
      </w:r>
      <w:r>
        <w:t>) maiņas cenu ierobežojuma uzstādījuma ietvaros. Citādi tas atkarībā no pasūtījuma izpildes ierobežojuma tiek dzēsts vai ievadīts KPR. Kad pasūtījums tiek saskaņots tirdzniecības darījumā, tā daudzums ir samazināts par tirdzniecības darījuma daudzumu;</w:t>
      </w:r>
    </w:p>
    <w:p w14:paraId="32EB8189" w14:textId="77777777" w:rsidR="0095011F" w:rsidRPr="00CB4A63" w:rsidRDefault="0095011F" w:rsidP="00384080">
      <w:pPr>
        <w:pStyle w:val="Sarakstarindkopa"/>
        <w:numPr>
          <w:ilvl w:val="1"/>
          <w:numId w:val="36"/>
        </w:numPr>
        <w:jc w:val="both"/>
      </w:pPr>
      <w:r>
        <w:t>ja pasūtījumu var izpildīt, tas ne vienmēr jāizpilda par vienu cenu – iespējams secīgi ģenerēt vairākus daļējus darījumus par dažādām cenām attiecībā pret dažādiem pasūtījumiem, kas jau pastāv KPR. Kad pasūtījums noteiktā cenu līmenī ir izpildīts attiecībā pret kopējo pieejamo daudzumu (citiem vārdiem sakot, attiecībā pret visiem pasūtījumiem, kas ievadīti šajā cenu robežā), nākamās labākās cenas līmenis kļūst par labāko, un jaunievadīto pasūtījumu turpina saskaņot attiecībā pret pasūtījumiem, kas ievadīti šajā cenu līmenī. Šis process turpinās, kamēr ienākošais pasūtījums ir izpildāms un pastāv pozitīvs pasūtījumu daudzums. Pēc tam pasūtījums tiek dzēsts (ja pasūtījuma daudzums ir sasniedzis nulli vai atkarībā no izpildes ierobežojuma) vai ievadīts pasūtījumu reģistrā, norādot tā atlikušo daudzumu;</w:t>
      </w:r>
    </w:p>
    <w:p w14:paraId="0FD5273C" w14:textId="77777777" w:rsidR="0095011F" w:rsidRPr="00CB4A63" w:rsidRDefault="0095011F" w:rsidP="00384080">
      <w:pPr>
        <w:pStyle w:val="Sarakstarindkopa"/>
        <w:numPr>
          <w:ilvl w:val="1"/>
          <w:numId w:val="36"/>
        </w:numPr>
        <w:jc w:val="both"/>
      </w:pPr>
      <w:r>
        <w:t>saskaņošanas procesu var veicināt arī notikumi, kas izraisa pasūtījumu reģistra krustošanu (</w:t>
      </w:r>
      <w:r>
        <w:rPr>
          <w:i/>
        </w:rPr>
        <w:t>crossed order book</w:t>
      </w:r>
      <w:r>
        <w:t>) – tas var notikt, kad PSO izlaiž papildu starpzonu jaudu vai kad starpzonu tirdzniecības darījumi izlaiž starpzonu jaudu. Šādos gadījumos visi saskaņojamie pasūtījumi tiks saskaņoti uzreiz, veicot saskaņošanas procesu un aprēķinot vienotu cenu, par kuru visi pasūtījumi tiks saskaņoti.</w:t>
      </w:r>
    </w:p>
    <w:p w14:paraId="7F4EE0B1" w14:textId="77777777" w:rsidR="0095011F" w:rsidRPr="00CB4A63" w:rsidRDefault="0095011F" w:rsidP="00764D9D">
      <w:pPr>
        <w:pStyle w:val="Virsraksts3"/>
      </w:pPr>
      <w:bookmarkStart w:id="133" w:name="_Toc479786231"/>
      <w:bookmarkStart w:id="134" w:name="_Toc484770710"/>
      <w:bookmarkStart w:id="135" w:name="_Toc446482328"/>
      <w:bookmarkStart w:id="136" w:name="_Toc445904469"/>
      <w:bookmarkStart w:id="137" w:name="_Toc445904194"/>
      <w:r>
        <w:t>D sistēmas</w:t>
      </w:r>
      <w:bookmarkEnd w:id="133"/>
      <w:bookmarkEnd w:id="134"/>
      <w:r>
        <w:t xml:space="preserve"> </w:t>
      </w:r>
      <w:bookmarkEnd w:id="135"/>
      <w:bookmarkEnd w:id="136"/>
      <w:bookmarkEnd w:id="137"/>
    </w:p>
    <w:p w14:paraId="100ED379" w14:textId="77777777" w:rsidR="0095011F" w:rsidRPr="00CB4A63" w:rsidRDefault="0095011F" w:rsidP="00384080">
      <w:pPr>
        <w:pStyle w:val="Sarakstarindkopa"/>
        <w:numPr>
          <w:ilvl w:val="0"/>
          <w:numId w:val="37"/>
        </w:numPr>
        <w:jc w:val="both"/>
      </w:pPr>
      <w:r>
        <w:t xml:space="preserve">Primārās D sistēmas, kas veido daļu no diennakts sistēmas, ir KPR, JVM, PM un PZS/API, piemēram, lai NETO VTS varētu savienoties ar KPR. </w:t>
      </w:r>
    </w:p>
    <w:p w14:paraId="23D39576" w14:textId="3FB3FE2A" w:rsidR="0095011F" w:rsidRPr="00CB4A63" w:rsidRDefault="0095011F" w:rsidP="00384080">
      <w:pPr>
        <w:pStyle w:val="Sarakstarindkopa"/>
        <w:numPr>
          <w:ilvl w:val="1"/>
          <w:numId w:val="37"/>
        </w:numPr>
        <w:jc w:val="both"/>
      </w:pPr>
      <w:r>
        <w:t xml:space="preserve">KPR ir izstrādāts, lai ļautu saskaņot visu veidu pasūtījumus, kas laiku pa laikam ir pieļaujami diennakts risinājumā un tiek iesniegti, izmantojot kopīgo PZS/API kā anonimizētā PR daļu katrā solīšanas zonā no katra NETO, izmantojot tā izvēlēto LTS. Pasūtījumu saskaņošana KPR, kas veido visu atsevišķo NETO PR kopumu, tiek pastāvīgi veikta visos periodos, kas atvērti tirdzniecībai, un tajā ievēroti gan PSO noteiktie jaudas ierobežojumi JVM, gan saskaņošanas noteikumi, lai apvienotu netiešos (NETO) PR ar atsevišķajiem tiešajiem starpzonu jaudas pasūtījumiem. </w:t>
      </w:r>
    </w:p>
    <w:p w14:paraId="071994CE" w14:textId="77777777" w:rsidR="000D5961" w:rsidRPr="00CB4A63" w:rsidRDefault="0095011F" w:rsidP="00384080">
      <w:pPr>
        <w:pStyle w:val="Sarakstarindkopa"/>
        <w:numPr>
          <w:ilvl w:val="1"/>
          <w:numId w:val="37"/>
        </w:numPr>
        <w:jc w:val="both"/>
      </w:pPr>
      <w:r>
        <w:t>JVM ir jaudas piešķiršanas modulis, kas piedāvā iespēju pastāvīgi piešķirt starpzonu jaudu jebkurā attiecīgajā brīdī:</w:t>
      </w:r>
    </w:p>
    <w:p w14:paraId="7B6E5A81" w14:textId="77777777" w:rsidR="000D5961" w:rsidRPr="00CB4A63" w:rsidRDefault="000D5961" w:rsidP="004005A6">
      <w:pPr>
        <w:pStyle w:val="Sarakstarindkopa"/>
        <w:numPr>
          <w:ilvl w:val="2"/>
          <w:numId w:val="37"/>
        </w:numPr>
        <w:jc w:val="both"/>
      </w:pPr>
      <w:r>
        <w:t>labākajiem KPR pieejamajiem pasūtījumiem netiešas jaudas piešķiršanas gadījumā (solīšanas zonu starpā, pamatojoties uz NETO PR);</w:t>
      </w:r>
    </w:p>
    <w:p w14:paraId="5393057E" w14:textId="77777777" w:rsidR="0095011F" w:rsidRPr="00CB4A63" w:rsidRDefault="000D5961" w:rsidP="004005A6">
      <w:pPr>
        <w:pStyle w:val="Sarakstarindkopa"/>
        <w:numPr>
          <w:ilvl w:val="2"/>
          <w:numId w:val="37"/>
        </w:numPr>
        <w:jc w:val="both"/>
      </w:pPr>
      <w:r>
        <w:t>ārpus PR tiešās (starpzonu jaudas pieprasījums) jaudas piešķiršanas gadījumā;</w:t>
      </w:r>
    </w:p>
    <w:p w14:paraId="4A468BB7" w14:textId="77777777" w:rsidR="0095011F" w:rsidRPr="00CB4A63" w:rsidRDefault="0095011F" w:rsidP="00384080">
      <w:pPr>
        <w:pStyle w:val="Sarakstarindkopa"/>
        <w:numPr>
          <w:ilvl w:val="1"/>
          <w:numId w:val="37"/>
        </w:numPr>
        <w:jc w:val="both"/>
      </w:pPr>
      <w:r>
        <w:t xml:space="preserve">PM nodrošina informāciju no attiecīgajiem diennakts risinājumā noslēgtajiem tirdzniecības darījumiem katram tirdzniecības darījumā iesaistītajam NETO un aprēķina nepieciešamās plānotās apmaiņas, veicot nepieciešamo piegādi un norēķinus kā procesa </w:t>
      </w:r>
      <w:r>
        <w:lastRenderedPageBreak/>
        <w:t xml:space="preserve">pēc sasaistes daļu. PM saņem no KPR datus par visiem tirdzniecības darījumiem, kas noslēgti starp divām (vai vairāk) solīšanas zonām, kā arī starp vairākām piegādes zonām solīšanas zonas ietvaros, kur vien tas piemērojams, un starp centrālajiem darījumu partneriem vienas solīšanas zonas ietvaros. Pamatojoties uz šo informāciju, PM nodrošina, ka informācija par fizisku piegādi „no avota uz satekni” noteiktajā laikā tiek nosūtīta iesaistītajiem NETO un to centrālajiem darījumu partneriem, ekspeditoriem un PSO, kā arī tiek nosūtīta nepieciešamā informācija, lai veiktu finanšu nodošanu centrālo darījumu partneru starpā; </w:t>
      </w:r>
    </w:p>
    <w:p w14:paraId="0F6AB643" w14:textId="77777777" w:rsidR="0095011F" w:rsidRPr="00CB4A63" w:rsidRDefault="0095011F" w:rsidP="00384080">
      <w:pPr>
        <w:pStyle w:val="Sarakstarindkopa"/>
        <w:numPr>
          <w:ilvl w:val="1"/>
          <w:numId w:val="37"/>
        </w:numPr>
        <w:jc w:val="both"/>
      </w:pPr>
      <w:r>
        <w:t xml:space="preserve">API/PZS ir kopīgs protokols/saskarne, kas ļauj katram NETO savienoties ar KPR, ievērojot vienādus noteikumus, un šāds savienojums tiek atsevišķi veikts arī tiešu starpzonu jaudas pieprasījumu gadījumā.  </w:t>
      </w:r>
    </w:p>
    <w:p w14:paraId="0BDEE675" w14:textId="77777777" w:rsidR="0095011F" w:rsidRPr="00CB4A63" w:rsidRDefault="0095011F" w:rsidP="00764D9D">
      <w:pPr>
        <w:pStyle w:val="Virsraksts3"/>
      </w:pPr>
      <w:bookmarkStart w:id="138" w:name="_Toc479786232"/>
      <w:bookmarkStart w:id="139" w:name="_Toc484770711"/>
      <w:bookmarkStart w:id="140" w:name="_Toc446482329"/>
      <w:bookmarkStart w:id="141" w:name="_Toc445904470"/>
      <w:bookmarkStart w:id="142" w:name="_Toc445904195"/>
      <w:r>
        <w:t>D procedūras</w:t>
      </w:r>
      <w:bookmarkEnd w:id="138"/>
      <w:bookmarkEnd w:id="139"/>
      <w:r>
        <w:t xml:space="preserve"> </w:t>
      </w:r>
      <w:bookmarkEnd w:id="140"/>
      <w:bookmarkEnd w:id="141"/>
      <w:bookmarkEnd w:id="142"/>
    </w:p>
    <w:p w14:paraId="013BE03D" w14:textId="77777777" w:rsidR="0095011F" w:rsidRPr="00CB4A63" w:rsidRDefault="0095011F" w:rsidP="00384080">
      <w:pPr>
        <w:pStyle w:val="Sarakstarindkopa"/>
        <w:numPr>
          <w:ilvl w:val="0"/>
          <w:numId w:val="38"/>
        </w:numPr>
        <w:jc w:val="both"/>
      </w:pPr>
      <w:r>
        <w:t xml:space="preserve">NETO D darbības līgums ietvers precīzu procedūru kopumu, kas nosaka, kā tiek veiktas visas darbības nākamās dienas sasaistes procesā, kā katrs ar vienoto diennakts sistēmu savienotais NETO risina neparedzētus starpgadījumus un kā diennakts pakalpojumu nodrošinātājs to garantē saskaņā ar vienlīdzīgas attieksmes un veiktspējas prasībām. NETO D darbības līgums ietvers arī noteikumus par to, kā un nepieciešamības gadījumā – kāpēc – jāatjauno un jāmaina procedūras. </w:t>
      </w:r>
    </w:p>
    <w:p w14:paraId="71162D71" w14:textId="77777777" w:rsidR="0095011F" w:rsidRPr="00CB4A63" w:rsidRDefault="0095011F" w:rsidP="00384080">
      <w:pPr>
        <w:pStyle w:val="Sarakstarindkopa"/>
        <w:numPr>
          <w:ilvl w:val="0"/>
          <w:numId w:val="38"/>
        </w:numPr>
        <w:jc w:val="both"/>
      </w:pPr>
      <w:r>
        <w:t>Svarīgi piebilst, ka tiks izveidots DDL, ko parakstīs visi iesaistītie NETO un visi iesaistītie PSO, un izpildes nolūkā tas jāsaskaņo ar NETO D darbības līgumu diennakts sasaistē. Šis DDL nav TSO plāna daļa, jo tas jāizveido un par to jāvienojas kopā ar PSO. Šis DDL starp NETO un PSO pilnībā aptvers NETO D sasaistē sniegtos pakalpojumus PSO, kas ir JVM un vairums PM elementu.</w:t>
      </w:r>
    </w:p>
    <w:p w14:paraId="7ADA4B79" w14:textId="6F14AB2F" w:rsidR="0095011F" w:rsidRPr="00CB4A63" w:rsidRDefault="0095011F" w:rsidP="00384080">
      <w:pPr>
        <w:pStyle w:val="Sarakstarindkopa"/>
        <w:numPr>
          <w:ilvl w:val="0"/>
          <w:numId w:val="38"/>
        </w:numPr>
        <w:jc w:val="both"/>
      </w:pPr>
      <w:r>
        <w:t xml:space="preserve">NETO D darbības līgums un DDL izveidos procesu procedūru izveidei un pārveidošanai (attiecīgi NETO procedūras un NETO-PSO procedūras), kas aprakstīs, kā diennakts sistēmas funkcijas tiks izmantotas, lai veiktu tirgus ekspluatācijas procesus. </w:t>
      </w:r>
    </w:p>
    <w:p w14:paraId="238E5D44" w14:textId="77777777" w:rsidR="0095011F" w:rsidRPr="00CB4A63" w:rsidRDefault="0095011F" w:rsidP="00384080">
      <w:pPr>
        <w:pStyle w:val="Virsraksts2"/>
        <w:keepNext w:val="0"/>
        <w:keepLines w:val="0"/>
        <w:numPr>
          <w:ilvl w:val="1"/>
          <w:numId w:val="28"/>
        </w:numPr>
        <w:spacing w:before="280" w:after="120" w:line="240" w:lineRule="auto"/>
        <w:ind w:right="259"/>
      </w:pPr>
      <w:bookmarkStart w:id="143" w:name="_Toc446482332"/>
      <w:bookmarkStart w:id="144" w:name="_Toc445904473"/>
      <w:bookmarkStart w:id="145" w:name="_Toc445904198"/>
      <w:bookmarkStart w:id="146" w:name="_Toc479786233"/>
      <w:bookmarkStart w:id="147" w:name="_Toc484770712"/>
      <w:r>
        <w:t>Pārvaldība</w:t>
      </w:r>
      <w:bookmarkEnd w:id="143"/>
      <w:bookmarkEnd w:id="144"/>
      <w:bookmarkEnd w:id="145"/>
      <w:bookmarkEnd w:id="146"/>
      <w:bookmarkEnd w:id="147"/>
    </w:p>
    <w:p w14:paraId="279CBA5E" w14:textId="77777777" w:rsidR="00F31601" w:rsidRPr="00CB4A63" w:rsidRDefault="002521F5" w:rsidP="00764D9D">
      <w:pPr>
        <w:pStyle w:val="Virsraksts3"/>
      </w:pPr>
      <w:bookmarkStart w:id="148" w:name="_Toc479786234"/>
      <w:bookmarkStart w:id="149" w:name="_Toc484770713"/>
      <w:r>
        <w:t>Izmaiņu kontroles procedūra</w:t>
      </w:r>
      <w:bookmarkEnd w:id="148"/>
      <w:bookmarkEnd w:id="149"/>
    </w:p>
    <w:p w14:paraId="42A6789F" w14:textId="77777777" w:rsidR="002F0405" w:rsidRPr="00CB4A63" w:rsidRDefault="002F0405" w:rsidP="00384080">
      <w:pPr>
        <w:pStyle w:val="Sarakstarindkopa"/>
        <w:numPr>
          <w:ilvl w:val="0"/>
          <w:numId w:val="40"/>
        </w:numPr>
        <w:jc w:val="both"/>
      </w:pPr>
      <w:r>
        <w:t>D izmaiņu kontroles procedūras tiks pieņemtas saskaņā ar ND izmaiņu kontroles procedūras principiem, kas tiks pielāgoti konkrētajiem DS apstākļiem.</w:t>
      </w:r>
    </w:p>
    <w:p w14:paraId="076E48C0" w14:textId="77777777" w:rsidR="00764D9D" w:rsidRPr="00CB4A63" w:rsidRDefault="00764D9D">
      <w:pPr>
        <w:spacing w:after="160" w:line="259" w:lineRule="auto"/>
        <w:rPr>
          <w:rFonts w:asciiTheme="majorHAnsi" w:eastAsiaTheme="majorEastAsia" w:hAnsiTheme="majorHAnsi" w:cstheme="majorBidi"/>
          <w:b/>
          <w:bCs/>
          <w:color w:val="2E74B5" w:themeColor="accent1" w:themeShade="BF"/>
          <w:sz w:val="28"/>
          <w:szCs w:val="28"/>
        </w:rPr>
      </w:pPr>
      <w:r>
        <w:br w:type="page"/>
      </w:r>
    </w:p>
    <w:p w14:paraId="2CE9B130" w14:textId="77777777" w:rsidR="00B616CE" w:rsidRPr="00CB4A63" w:rsidRDefault="00764D9D" w:rsidP="00B616CE">
      <w:pPr>
        <w:pStyle w:val="Virsraksts1"/>
      </w:pPr>
      <w:bookmarkStart w:id="150" w:name="_Toc479786235"/>
      <w:bookmarkStart w:id="151" w:name="_Toc484770714"/>
      <w:r>
        <w:lastRenderedPageBreak/>
        <w:t>CACM METOŽU GAIDĀMĀ IETEKME</w:t>
      </w:r>
      <w:bookmarkEnd w:id="150"/>
      <w:bookmarkEnd w:id="151"/>
    </w:p>
    <w:p w14:paraId="1C3F4433" w14:textId="77777777" w:rsidR="00BF58BD" w:rsidRPr="00CB4A63" w:rsidRDefault="00BF58BD" w:rsidP="00A116E3">
      <w:pPr>
        <w:spacing w:after="120"/>
        <w:ind w:left="360"/>
        <w:jc w:val="both"/>
      </w:pPr>
    </w:p>
    <w:p w14:paraId="42281020" w14:textId="77777777" w:rsidR="00B616CE" w:rsidRPr="00CB4A63" w:rsidRDefault="00B616CE" w:rsidP="00384080">
      <w:pPr>
        <w:numPr>
          <w:ilvl w:val="0"/>
          <w:numId w:val="39"/>
        </w:numPr>
        <w:spacing w:after="120"/>
        <w:jc w:val="both"/>
      </w:pPr>
      <w:r>
        <w:t>CACM regula nosaka, ka TSO plānam jāietver noteikumu vai metožu gaidāmās ietekmes uz TSO funkciju izveidi un izpildi apraksts.</w:t>
      </w:r>
    </w:p>
    <w:p w14:paraId="15FF6CED" w14:textId="77777777" w:rsidR="00B616CE" w:rsidRPr="00CB4A63" w:rsidRDefault="00B616CE" w:rsidP="00384080">
      <w:pPr>
        <w:numPr>
          <w:ilvl w:val="0"/>
          <w:numId w:val="39"/>
        </w:numPr>
        <w:spacing w:after="120"/>
        <w:jc w:val="both"/>
      </w:pPr>
      <w:r>
        <w:t xml:space="preserve">NETO neparedz, ka PSO saskaņā ar CACM regulas 15. panta 1. punktu sagatavotā jaudas aprēķina reģiona metode ietekmēs TSO funkciju izveidi un izpildi. </w:t>
      </w:r>
    </w:p>
    <w:p w14:paraId="030276A6" w14:textId="77777777" w:rsidR="00B616CE" w:rsidRPr="00CB4A63" w:rsidRDefault="00B616CE" w:rsidP="00384080">
      <w:pPr>
        <w:numPr>
          <w:ilvl w:val="0"/>
          <w:numId w:val="39"/>
        </w:numPr>
        <w:spacing w:after="120"/>
        <w:jc w:val="both"/>
      </w:pPr>
      <w:r>
        <w:t>NETO neparedz, ka PSO saskaņā ar CACM regulas 16. panta 1. punktu izstrādātā ģenerēšanas un slodzes datu nodrošināšanas metode ietekmēs TSO funkciju izveidi un izpildi, jo tas ir pirms sasaistes veicams uzdevums.</w:t>
      </w:r>
    </w:p>
    <w:p w14:paraId="108E7AC6" w14:textId="77777777" w:rsidR="00B616CE" w:rsidRPr="00CB4A63" w:rsidRDefault="00B616CE" w:rsidP="00384080">
      <w:pPr>
        <w:numPr>
          <w:ilvl w:val="0"/>
          <w:numId w:val="39"/>
        </w:numPr>
        <w:spacing w:after="120"/>
        <w:jc w:val="both"/>
      </w:pPr>
      <w:r>
        <w:t xml:space="preserve">NETO neparedz, ka PSO saskaņā ar CACM regulas 17. panta 1. punktu izstrādātā kopējā tīkla modeļa metode ietekmēs TSO funkciju izveidi un izpildi, jo tas ir pirms sasaistes veicams uzdevums. </w:t>
      </w:r>
    </w:p>
    <w:p w14:paraId="4508C7D0" w14:textId="77777777" w:rsidR="00B616CE" w:rsidRPr="00CB4A63" w:rsidRDefault="00B616CE" w:rsidP="00384080">
      <w:pPr>
        <w:numPr>
          <w:ilvl w:val="0"/>
          <w:numId w:val="39"/>
        </w:numPr>
        <w:spacing w:after="120"/>
        <w:jc w:val="both"/>
      </w:pPr>
      <w:r>
        <w:t xml:space="preserve">NETO neparedz, ka izteiktais priekšlikums par saskaņā ar CACM regulas 21. panta 4. punktu PSO izveidoto saskaņoto jaudas aprēķina metodi ietekmēs TSO funkciju izveidi un izpildi. </w:t>
      </w:r>
    </w:p>
    <w:p w14:paraId="7CE644C9" w14:textId="17C2BB3A" w:rsidR="00B616CE" w:rsidRPr="00CB4A63" w:rsidRDefault="00AA6FAD" w:rsidP="00384080">
      <w:pPr>
        <w:numPr>
          <w:ilvl w:val="0"/>
          <w:numId w:val="39"/>
        </w:numPr>
        <w:spacing w:after="120"/>
        <w:jc w:val="both"/>
      </w:pPr>
      <w:r>
        <w:t xml:space="preserve">Rezerves metode, ko NETO izveidojuši saskaņā ar CACM regulas 36. panta 3. punktu, tiks iesniegta apstiprināšanai visām pārvaldes iestādēm līdz 2017. gada februārim. NETO paredz, ka visas pārvaldes iestādes apstiprinās rezerves metodi līdz 2017. gada augustam. NETO neparedz, ka rezerves metode ietekmēs TSO funkciju izveides termiņu. NETO paredz, ka rezerves metode nodrošinās, ka TSO funkciju izpildei tiks izveidotas efektīvas un piemērotas rezerves procedūras. </w:t>
      </w:r>
    </w:p>
    <w:p w14:paraId="28E9C523" w14:textId="77777777" w:rsidR="00436889" w:rsidRPr="00CB4A63" w:rsidRDefault="00AA6FAD" w:rsidP="00384080">
      <w:pPr>
        <w:numPr>
          <w:ilvl w:val="0"/>
          <w:numId w:val="39"/>
        </w:numPr>
        <w:spacing w:after="120"/>
        <w:jc w:val="both"/>
      </w:pPr>
      <w:r>
        <w:t xml:space="preserve">Algoritma priekšlikums (turpmāk – „algoritma priekšlikums”), ko NETO izveidojuši saskaņā ar CACM regulas 37. panta 5. punktu un kas ietver PSO un NETO prasību kopumu attiecībā uz algoritma izstrādi saskaņā ar CACM regulas 37. panta 1. punktu (turpmāk – „algoritma prasības”), tiks iesniegti apstiprināšanai visām pārvaldes iestādēm līdz 2017. gada februārim.  NETO paredz, ka visas pārvaldes iestādes apstiprinās algoritma priekšlikumu un algoritma prasības līdz 2017. gada augustam. </w:t>
      </w:r>
    </w:p>
    <w:p w14:paraId="2B3C9BC5" w14:textId="77777777" w:rsidR="00B616CE" w:rsidRPr="00CB4A63" w:rsidRDefault="00436889" w:rsidP="00384080">
      <w:pPr>
        <w:numPr>
          <w:ilvl w:val="0"/>
          <w:numId w:val="39"/>
        </w:numPr>
        <w:spacing w:after="120"/>
        <w:jc w:val="both"/>
      </w:pPr>
      <w:r>
        <w:t xml:space="preserve">NETO neparedz, ka algoritma priekšlikums un algoritma prasības ietekmēs TSO funkciju izveides termiņu. Tas ir tāpēc, ka šajā TSO plānā jau ņemti vērā izstrādes procesi, kas nepieciešami algoritma prasībās aprakstīto sākotnējo prasību izpildei. Algoritma prasībās aprakstītās nākotnes prasības tiks ieviestas pēc TSO plāna ieviešanas termiņa saskaņā ar algoritma priekšlikumā noteiktajām procedūrām. NETO neparedz, ka sākotnējās prasības ietekmēs ND TSO funkcijas un DTSO funkcijas izpildi. NETO paredz, ka algoritma prasībās aprakstītās nākotnes prasības ietekmēs ND TSO un DTSO funkcijas izpildi. Lai samazinātu un pārvaldītu visu nākotnes prasību potenciālo ietekmi uz algoritma darbību, NETO algoritma priekšlikumā ir ierosinājuši pasākumus algoritma darbības novērtēšanai un kontrolei, kā arī pārredzamas un stingras izmaiņu pārvaldības kārtības izveidei. </w:t>
      </w:r>
    </w:p>
    <w:p w14:paraId="4F30960E" w14:textId="77777777" w:rsidR="0056217A" w:rsidRPr="00CB4A63" w:rsidRDefault="00126678" w:rsidP="00384080">
      <w:pPr>
        <w:numPr>
          <w:ilvl w:val="0"/>
          <w:numId w:val="39"/>
        </w:numPr>
        <w:spacing w:after="120"/>
        <w:jc w:val="both"/>
      </w:pPr>
      <w:r>
        <w:t>Produktu priekšlikums (turpmāk – „produktu priekšlikums”), ko NETO var ņemt vērā nākamās dienas un diennakts sasaistes procesā un ko NETO izveidojuši saskaņā ar CACM regulas 40. un 53. pantu, tiks iesniegts apstiprināšanai pārvaldes iestādēm līdz 2017. gada februārim. NETO paredz, ka visas pārvaldes iestādes apstiprinās produktu priekšlikumu līdz 2017. gada augustam.</w:t>
      </w:r>
    </w:p>
    <w:p w14:paraId="15F9677D" w14:textId="77777777" w:rsidR="00B616CE" w:rsidRPr="00CB4A63" w:rsidRDefault="0056217A" w:rsidP="00384080">
      <w:pPr>
        <w:numPr>
          <w:ilvl w:val="0"/>
          <w:numId w:val="39"/>
        </w:numPr>
        <w:spacing w:after="120"/>
        <w:jc w:val="both"/>
      </w:pPr>
      <w:r>
        <w:t xml:space="preserve">NETO neparedz, ka produktu priekšlikums ietekmēs TSO funkciju izveides termiņu. Tas ir tāpēc, ka šajā TSO plānā jau ievēroti izstrādes procesi, kas nepieciešami, lai ņemtu vērā produktu priekšlikumā norādītos produktus. NETO neparedz, ka produktu priekšlikumā norādītie produkti </w:t>
      </w:r>
      <w:r>
        <w:lastRenderedPageBreak/>
        <w:t xml:space="preserve">noteikti ietekmēs TSO funkciju izpildi. Lai mazinātu un pārvaldītu produktu priekšlikumā norādīto produktu potenciālo ietekmi uz TSO funkciju izpildi, algoritma priekšlikumā ierosināti pasākumi algoritma darbības novērtēšanai un kontrolei. Turklāt, lai mazinātu un pārvaldītu jauno produktu ieviešanas potenciālo ietekmi uz TSO funkciju izpildi, algoritma priekšlikums izveido pārredzamu un stingru izmaiņu pārvaldības kārtību. </w:t>
      </w:r>
    </w:p>
    <w:p w14:paraId="1C03D611" w14:textId="77777777" w:rsidR="00694E08" w:rsidRPr="00CB4A63" w:rsidRDefault="0000737E" w:rsidP="00384080">
      <w:pPr>
        <w:numPr>
          <w:ilvl w:val="0"/>
          <w:numId w:val="39"/>
        </w:numPr>
        <w:spacing w:after="120"/>
        <w:jc w:val="both"/>
      </w:pPr>
      <w:r>
        <w:t xml:space="preserve">Maksimālo un minimālo cenu metode, ko NETO izveidojuši saskaņā ar CACM regulas 41 panta 1. punktu un 54. panta 2. punktu tiks iesniegta apstiprināšanai visām pārvaldes iestādēm līdz 2017. gada februārim. NETO paredz, ka visas pārvaldes iestādes apstiprinās maksimālo un minimālo cenu metodi līdz 2017. gada augustam. </w:t>
      </w:r>
    </w:p>
    <w:p w14:paraId="5A3811BB" w14:textId="77777777" w:rsidR="00B616CE" w:rsidRPr="00CB4A63" w:rsidRDefault="00B616CE" w:rsidP="00384080">
      <w:pPr>
        <w:numPr>
          <w:ilvl w:val="0"/>
          <w:numId w:val="39"/>
        </w:numPr>
        <w:spacing w:after="120"/>
        <w:jc w:val="both"/>
      </w:pPr>
      <w:r>
        <w:t>NETO neparedz, ka maksimālo un minimālo cenu metode ietekmēs TSO funkciju izveides termiņu, jo ierosinātās maksimālās un minimālās cenas jau ir ņemtas vērā šajā TSO plānā. NETO neparedz, ka maksimālo un minimālo cenu metode jeb konkrētāk — ierosinātais maksimālo un minimālo cenu līmenis — ietekmēs TSO funkciju izpildi.</w:t>
      </w:r>
    </w:p>
    <w:p w14:paraId="340D1EAE" w14:textId="77777777" w:rsidR="008C611E" w:rsidRPr="00CB4A63" w:rsidRDefault="00B616CE" w:rsidP="00384080">
      <w:pPr>
        <w:numPr>
          <w:ilvl w:val="0"/>
          <w:numId w:val="39"/>
        </w:numPr>
        <w:spacing w:after="120"/>
        <w:jc w:val="both"/>
      </w:pPr>
      <w:r>
        <w:t xml:space="preserve">NETO paredz, ka PSO saskaņā ar CACM regulas metodes 55. panta 1. punktu izveidotā diennakts jaudas cenu noteikšanas metode līdz 2017. gada augustam tiks iesniegta apstiprināšanai visām pārvaldes iestādēm. NETO paredz, ka visas VPI apstiprinās diennakts jaudas cenu noteikšanas metodi līdz 2018. gada februārim. </w:t>
      </w:r>
    </w:p>
    <w:p w14:paraId="765EDAB1" w14:textId="77777777" w:rsidR="008C611E" w:rsidRPr="00CB4A63" w:rsidRDefault="00B616CE" w:rsidP="00384080">
      <w:pPr>
        <w:numPr>
          <w:ilvl w:val="0"/>
          <w:numId w:val="39"/>
        </w:numPr>
        <w:spacing w:after="120"/>
        <w:jc w:val="both"/>
      </w:pPr>
      <w:r>
        <w:t>NETO neparedz, ka diennakts jaudas cenu noteikšanas metode ietekmēs TSO funkciju izveides termiņu. Mēs paredzam, ka TSO funkcijas tiks ieviestas pirms tam, kad VPI būs apstiprinājušas diennakts jaudas cenu noteikšanas metodi. NETO paredz, ka diennakts jaudas cenu noteikšanas metode ietekmēs DTSO funkcijas izpildi. Lai mazinātu un pārvaldītu diennakts jaudas cenu noteikšanas metodes potenciālo ietekmi uz DTSO funkcijas izpildi, NETO ierosina ievērot stingro un pārredzamo izmaiņu pārvaldības kārtību, kas izveidota saskaņā ar algoritma priekšlikumu un šo TSO plānu.</w:t>
      </w:r>
    </w:p>
    <w:p w14:paraId="2FF89E34" w14:textId="77777777" w:rsidR="00D46CB9" w:rsidRPr="00CB4A63" w:rsidRDefault="0000737E" w:rsidP="00384080">
      <w:pPr>
        <w:numPr>
          <w:ilvl w:val="0"/>
          <w:numId w:val="39"/>
        </w:numPr>
        <w:spacing w:after="120"/>
        <w:jc w:val="both"/>
      </w:pPr>
      <w:r>
        <w:t xml:space="preserve">Diennakts starpzonu vārtu atvēršanas un slēgšanas laiki (turpmāk – „PSO D vārtu atvēršanas un aizvēršanas priekšlikums”), ko PSO noteicis saskaņā ar CACM regulas 59. panta 1. punktu, tiks iesniegts apstiprināšanai visām pārvaldes iestādēm līdz 2016. gada decembrim. NETO paredz, ka visas pārvaldes iestādes apstiprinās diennakts starpzonu vārtu atvēršanas un diennakts starpzonu vārtu aizvēršanas laiku līdz 2017. gada jūnijam.  </w:t>
      </w:r>
    </w:p>
    <w:p w14:paraId="6FDA0BED" w14:textId="77777777" w:rsidR="00B616CE" w:rsidRPr="00CB4A63" w:rsidRDefault="00B616CE" w:rsidP="00384080">
      <w:pPr>
        <w:numPr>
          <w:ilvl w:val="0"/>
          <w:numId w:val="39"/>
        </w:numPr>
        <w:spacing w:after="120"/>
        <w:jc w:val="both"/>
      </w:pPr>
      <w:r>
        <w:t xml:space="preserve">NETO neparedz, ka PSO D vārtu atvēršanas un aizvēršanas priekšlikums ietekmēs DTSO funkcijas izveides termiņu. NETO paredz, ka PSO D vārtu atvēršanas un aizvēršanas priekšlikums ietekmēs DTSO funkciju, nosakot ierobežojumus laika periodam, kuram DTSO funkcija var piešķirt starpzonu jaudu.  </w:t>
      </w:r>
    </w:p>
    <w:p w14:paraId="1B08778A" w14:textId="77777777" w:rsidR="00415FC8" w:rsidRPr="00CB4A63" w:rsidRDefault="0000737E" w:rsidP="00384080">
      <w:pPr>
        <w:numPr>
          <w:ilvl w:val="0"/>
          <w:numId w:val="39"/>
        </w:numPr>
        <w:spacing w:after="120"/>
        <w:jc w:val="both"/>
      </w:pPr>
      <w:r>
        <w:t xml:space="preserve">Nākamās dienas stabilitātes termiņš (turpmāk – „PSO ND stabilitātes termiņa priekšlikums”), ko noteicis PSO saskaņā ar CACM regulas 69. pantu, tiks iesniegts apstiprināšanai visām pārvaldes iestādēm līdz 2016. gada decembrim. NETO paredz, ka visas pārvaldes iestādes apstiprinās PSO ND stabilitātes termiņa priekšlikumu līdz 2017. gada jūnijam. </w:t>
      </w:r>
    </w:p>
    <w:p w14:paraId="2EDEA71A" w14:textId="46C5D47D" w:rsidR="00B616CE" w:rsidRPr="00CB4A63" w:rsidRDefault="00DF101E" w:rsidP="00384080">
      <w:pPr>
        <w:numPr>
          <w:ilvl w:val="0"/>
          <w:numId w:val="39"/>
        </w:numPr>
        <w:spacing w:after="120"/>
        <w:jc w:val="both"/>
      </w:pPr>
      <w:r>
        <w:t xml:space="preserve">NETO neparedz, ka PSO ND stabilitātes termiņa priekšlikums ietekmēs ND TSO funkcijas izveides termiņu vai ND TSO funkcijas izpildi. Tas ir tāpēc, ka PSO ierosinātais nākamās dienas stabilitātes termiņš atbilst esošajiem risinājumiem un jau ir ņemts vērā šajā TSO plānā. </w:t>
      </w:r>
    </w:p>
    <w:p w14:paraId="2EBD4C3D" w14:textId="77777777" w:rsidR="00B616CE" w:rsidRPr="00CB4A63" w:rsidRDefault="00B616CE" w:rsidP="00384080">
      <w:pPr>
        <w:numPr>
          <w:ilvl w:val="0"/>
          <w:numId w:val="39"/>
        </w:numPr>
        <w:spacing w:after="120"/>
        <w:jc w:val="both"/>
      </w:pPr>
      <w:r>
        <w:t>NETO neparedz, ka PSO saskaņā ar CACM regulas 73. panta 1. punktu izstrādātā pārslodzes ieņēmumu sadales metode ietekmēs TSO funkciju izveidi un izpildi, jo tas ir pēc sasaistes veicams uzdevums.</w:t>
      </w:r>
    </w:p>
    <w:p w14:paraId="2F22980D" w14:textId="77777777" w:rsidR="00E413CF" w:rsidRPr="00CB4A63" w:rsidRDefault="00CB62D6" w:rsidP="00384080">
      <w:pPr>
        <w:numPr>
          <w:ilvl w:val="0"/>
          <w:numId w:val="39"/>
        </w:numPr>
        <w:spacing w:after="120"/>
        <w:jc w:val="both"/>
      </w:pPr>
      <w:r>
        <w:lastRenderedPageBreak/>
        <w:t xml:space="preserve">NETO paredz, ka PSO katrā jaudas aprēķina reģionā iesniegs saskaņā ar CACM regulas 20. panta 2. punktu izstrādāto kopīgo jaudas aprēķina metodi attiecīgajām pārvaldes iestādēm ne vēlāk kā 10 mēnešus pēc jaudas aprēķina reģionu priekšlikuma apstiprināšanas. </w:t>
      </w:r>
    </w:p>
    <w:p w14:paraId="5D300708" w14:textId="77777777" w:rsidR="00B616CE" w:rsidRPr="00CB4A63" w:rsidRDefault="00625AAD" w:rsidP="00384080">
      <w:pPr>
        <w:numPr>
          <w:ilvl w:val="0"/>
          <w:numId w:val="39"/>
        </w:numPr>
        <w:spacing w:after="120"/>
        <w:jc w:val="both"/>
      </w:pPr>
      <w:r>
        <w:t>Jebkādu ietekmi uz TSO funkcijas ieviešanas periodu vai algoritma darbību var novērtēt tikai tad, kad ir noteiktas jaunās metodes. Lai mazinātu un pārvaldītu reģionālās jaudas aprēķina metožu potenciālo ietekmi uz TSO funkciju izpildi, NETO ierosina ievērot stingro un pārredzamo izmaiņu pārvaldības kārtību, kas izveidota saskaņā ar algoritma priekšlikumu un šo TSO plānu.</w:t>
      </w:r>
    </w:p>
    <w:p w14:paraId="168AB5B8" w14:textId="77777777" w:rsidR="00B616CE" w:rsidRPr="00CB4A63" w:rsidRDefault="00E413CF" w:rsidP="00384080">
      <w:pPr>
        <w:numPr>
          <w:ilvl w:val="0"/>
          <w:numId w:val="39"/>
        </w:numPr>
        <w:spacing w:after="120"/>
        <w:jc w:val="both"/>
      </w:pPr>
      <w:r>
        <w:t xml:space="preserve">NETO neparedz, ka PSO saskaņā ar CACM regulas 35. panta 1. punktu izstrādātās reģionālās metodes saskaņotai atkārtotai nosūtīšanai un kompensācijas tirdzniecībai ietekmēs TSO funkciju izveidi un izpildi, jo mēs neparedzam, ka PSO starprobežu darbības notiks vienā laikā ar TSO funkciju darbību.  </w:t>
      </w:r>
    </w:p>
    <w:p w14:paraId="626A1854" w14:textId="77777777" w:rsidR="00B616CE" w:rsidRPr="00CB4A63" w:rsidRDefault="005B0731" w:rsidP="00384080">
      <w:pPr>
        <w:numPr>
          <w:ilvl w:val="0"/>
          <w:numId w:val="39"/>
        </w:numPr>
        <w:spacing w:after="120"/>
        <w:jc w:val="both"/>
      </w:pPr>
      <w:r>
        <w:t xml:space="preserve">NETO paredz, ka PSO līdz 2016.  gada decembrim iesniegs pārvaldes iestādēm saskaņā ar CACM regulas 43. panta 1. punktu un 56. panta 1. punktu izstrādātās kopīgās plānoto apmaiņu aprēķina metodes. PSO priekšlikums var ietekmēt TSO funkciju izveidi un izpildi. Tas ir tāpēc, ka PSO priekšlikuma mērķis ir padarīt plānoto apmaiņu aprēķināšanu par TSO funkciju atbildību. </w:t>
      </w:r>
    </w:p>
    <w:p w14:paraId="1B34291B" w14:textId="77777777" w:rsidR="00B616CE" w:rsidRPr="00CB4A63" w:rsidRDefault="00AB5A76" w:rsidP="00384080">
      <w:pPr>
        <w:numPr>
          <w:ilvl w:val="0"/>
          <w:numId w:val="39"/>
        </w:numPr>
        <w:spacing w:after="120"/>
        <w:jc w:val="both"/>
      </w:pPr>
      <w:r>
        <w:t xml:space="preserve">NETO neparedz, ka PSO saskaņā ar CACM regulas 44. pantu izstrādātās reģionālās rezerves procedūras ietekmēs ND TSO funkcijas izveides un īstenošanas termiņu. Tas ir tāpēc, ka rezerves procedūru mērķis ir nodrošināt efektīvu, pārredzamu un nediskriminējošu jaudas piešķiršanu gadījumā, ja nākamās dienas sasaistes process nesniedz rezultātus. </w:t>
      </w:r>
    </w:p>
    <w:p w14:paraId="3B19BB70" w14:textId="3B365D47" w:rsidR="00715D35" w:rsidRPr="00CB4A63" w:rsidRDefault="009A55B5" w:rsidP="00384080">
      <w:pPr>
        <w:numPr>
          <w:ilvl w:val="0"/>
          <w:numId w:val="39"/>
        </w:numPr>
        <w:spacing w:after="120"/>
        <w:jc w:val="both"/>
      </w:pPr>
      <w:r>
        <w:t xml:space="preserve">NETO paredz, ka PSO un NETO kopīgi iesniegs attiecīgajām pārvaldes iestādēm priekšlikumu par papildu reģionālajām izsolēm, ko izstrādājis PSO kopā ar NETO saskaņā ar CACM regulas 63. panta 1. punktu, ne agrāk kā 2017. gada februārī. </w:t>
      </w:r>
    </w:p>
    <w:p w14:paraId="65388E3A" w14:textId="77777777" w:rsidR="00715D35" w:rsidRPr="00CB4A63" w:rsidRDefault="009A55B5" w:rsidP="00384080">
      <w:pPr>
        <w:numPr>
          <w:ilvl w:val="0"/>
          <w:numId w:val="39"/>
        </w:numPr>
        <w:spacing w:after="120"/>
        <w:jc w:val="both"/>
      </w:pPr>
      <w:r>
        <w:t>NETO neparedz, ka papildu reģionālo izsoļu priekšlikumi noteikti ietekmēs DTSO funkcijas izveides termiņu. Tas ir tāpēc, ka mēs paredzam, ka DTSO funkcija tiks ieviesta, pirms mēs būsim uzzinājuši detalizētas prasības saistībā ar papildu reģionālo izsoļu ieviešanu. Papildu reģionālās izsoles var ietekmēt DTSO funkciju izpildi. Lai mazinātu un pārvaldītu papildu reģionālo izsoļu potenciālo ietekmi uz DTSO funkciju izpildi, NETO ierosina ievērot stingro un pārredzamo izmaiņu pārvaldības kārtību, kas izveidota saskaņā ar algoritma priekšlikumu un šo TSO plānu.</w:t>
      </w:r>
    </w:p>
    <w:p w14:paraId="45B53F68" w14:textId="77777777" w:rsidR="00E85F62" w:rsidRPr="00CB4A63" w:rsidRDefault="00E85F62" w:rsidP="00384080">
      <w:pPr>
        <w:numPr>
          <w:ilvl w:val="0"/>
          <w:numId w:val="39"/>
        </w:numPr>
        <w:spacing w:after="120"/>
        <w:jc w:val="both"/>
      </w:pPr>
      <w:r>
        <w:t>NETO neparedz, ka atsevišķu PSO priekšlikumi attiecībā uz solīšanas zonas konfigurācijas pārskatīšanu saskaņā ar CACM regulas 32. panta 1. punkta d) apakšpunktu ietekmēs TSO funkciju izveides termiņu.  Lēmums par solīšanas zonas konfigurācijas grozīšanu var ietekmēt TSO funkciju izpildi. Lai mazinātu un pārvaldītu lēmuma ar solīšanas zonas konfigurācijas grozīšanu potenciālo ietekmi uz TSO funkciju izpildi, NETO ierosina ievērot stingro un pārredzamo izmaiņu pārvaldības kārtību, kas izveidota saskaņā ar algoritma priekšlikumu un šo TSO plānu.</w:t>
      </w:r>
    </w:p>
    <w:p w14:paraId="554E47AE" w14:textId="77777777" w:rsidR="00B616CE" w:rsidRPr="00CB4A63" w:rsidRDefault="000C2E2C" w:rsidP="00384080">
      <w:pPr>
        <w:numPr>
          <w:ilvl w:val="0"/>
          <w:numId w:val="39"/>
        </w:numPr>
        <w:spacing w:after="120"/>
        <w:jc w:val="both"/>
      </w:pPr>
      <w:r>
        <w:t xml:space="preserve">NETO neparedz, ka PSO saskaņā ar CACM regulas 45. un 57. pantu izstrādātais priekšlikums par starpzonu jaudas piešķiršanu un citiem pasākumiem ietekmēs TSO funkciju izveides termiņu un izpildi. Tas ir tāpēc, ka TSO funkcijas tiek izstrādātas, lai tās būtu piemērotas darbībai solīšanas zonās ar vairākiem NETO un/vai starpsavienojumiem, ko neapkalpo sertificēti PSO. </w:t>
      </w:r>
    </w:p>
    <w:p w14:paraId="3720C251" w14:textId="77777777" w:rsidR="00B33F6C" w:rsidRPr="00CB4A63" w:rsidRDefault="00B33F6C" w:rsidP="00384080">
      <w:pPr>
        <w:numPr>
          <w:ilvl w:val="0"/>
          <w:numId w:val="39"/>
        </w:numPr>
        <w:spacing w:after="120"/>
        <w:jc w:val="both"/>
      </w:pPr>
      <w:r>
        <w:t>Ja ierosinātās metodes netiek apstiprinātas norādītajos laika posmos vai tiek grozītas neparedzētā veidā, vai arī tām ir neparedzētas sekas, NETO jānovērtē ietekme uz TSO funkciju izveidi un īstenošanu un jāpiedāvā koriģējoši pasākumi ietekmes mazināšanai.</w:t>
      </w:r>
    </w:p>
    <w:p w14:paraId="7ECB6AAC" w14:textId="77777777" w:rsidR="00211775" w:rsidRPr="00CB4A63" w:rsidRDefault="00211775" w:rsidP="004005A6">
      <w:pPr>
        <w:spacing w:after="160" w:line="259" w:lineRule="auto"/>
      </w:pPr>
    </w:p>
    <w:p w14:paraId="0C28E7C9" w14:textId="77777777" w:rsidR="00AE53C7" w:rsidRPr="00CB4A63" w:rsidRDefault="00AE53C7" w:rsidP="002521F5">
      <w:pPr>
        <w:pStyle w:val="Virsraksts1"/>
        <w:rPr>
          <w:rFonts w:eastAsia="Times New Roman" w:cs="Times New Roman"/>
        </w:rPr>
      </w:pPr>
      <w:bookmarkStart w:id="152" w:name="_Toc479786236"/>
      <w:bookmarkStart w:id="153" w:name="_Toc484770715"/>
      <w:r>
        <w:lastRenderedPageBreak/>
        <w:t>1. PIELIKUMS – pagaidu NETO sadarbības līguma (PNSL) kopsavilkums</w:t>
      </w:r>
      <w:bookmarkEnd w:id="152"/>
      <w:bookmarkEnd w:id="153"/>
    </w:p>
    <w:p w14:paraId="1850CD9C" w14:textId="77777777" w:rsidR="00AE53C7" w:rsidRPr="00CB4A63" w:rsidRDefault="00AE53C7" w:rsidP="00AE53C7"/>
    <w:tbl>
      <w:tblPr>
        <w:tblStyle w:val="Reatabula"/>
        <w:tblW w:w="9606" w:type="dxa"/>
        <w:tblLook w:val="04A0" w:firstRow="1" w:lastRow="0" w:firstColumn="1" w:lastColumn="0" w:noHBand="0" w:noVBand="1"/>
      </w:tblPr>
      <w:tblGrid>
        <w:gridCol w:w="3070"/>
        <w:gridCol w:w="6536"/>
      </w:tblGrid>
      <w:tr w:rsidR="00AE53C7" w:rsidRPr="00CB4A63" w14:paraId="5EF1FCB7" w14:textId="77777777" w:rsidTr="00AE53C7">
        <w:tc>
          <w:tcPr>
            <w:tcW w:w="960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EEC8700" w14:textId="77777777" w:rsidR="00AE53C7" w:rsidRPr="00CB4A63" w:rsidRDefault="00AE53C7">
            <w:pPr>
              <w:spacing w:after="0" w:line="240" w:lineRule="auto"/>
              <w:jc w:val="center"/>
              <w:rPr>
                <w:rFonts w:ascii="Arial" w:hAnsi="Arial" w:cs="Arial"/>
                <w:b/>
                <w:color w:val="FFFFFF" w:themeColor="background1"/>
                <w:sz w:val="20"/>
                <w:szCs w:val="20"/>
              </w:rPr>
            </w:pPr>
          </w:p>
          <w:p w14:paraId="03040716" w14:textId="77777777" w:rsidR="00AE53C7" w:rsidRPr="00CB4A63" w:rsidRDefault="00AE53C7">
            <w:pPr>
              <w:spacing w:after="0" w:line="240" w:lineRule="auto"/>
              <w:jc w:val="center"/>
              <w:rPr>
                <w:rFonts w:ascii="Arial" w:hAnsi="Arial" w:cs="Arial"/>
                <w:b/>
                <w:color w:val="FFFFFF" w:themeColor="background1"/>
                <w:sz w:val="20"/>
                <w:szCs w:val="20"/>
              </w:rPr>
            </w:pPr>
            <w:r>
              <w:rPr>
                <w:rFonts w:ascii="Arial" w:hAnsi="Arial"/>
                <w:b/>
                <w:color w:val="FFFFFF" w:themeColor="background1"/>
                <w:sz w:val="20"/>
              </w:rPr>
              <w:t xml:space="preserve">Līguma noteikumi </w:t>
            </w:r>
          </w:p>
          <w:p w14:paraId="4C9082AD" w14:textId="77777777" w:rsidR="00AE53C7" w:rsidRPr="00CB4A63" w:rsidRDefault="00AE53C7">
            <w:pPr>
              <w:spacing w:after="0" w:line="240" w:lineRule="auto"/>
              <w:jc w:val="center"/>
              <w:rPr>
                <w:rFonts w:ascii="Arial" w:hAnsi="Arial" w:cs="Arial"/>
                <w:b/>
                <w:color w:val="FFFFFF" w:themeColor="background1"/>
                <w:sz w:val="20"/>
                <w:szCs w:val="20"/>
              </w:rPr>
            </w:pPr>
          </w:p>
        </w:tc>
      </w:tr>
      <w:tr w:rsidR="00AE53C7" w:rsidRPr="00CB4A63" w14:paraId="04CA8D87" w14:textId="77777777" w:rsidTr="00AE53C7">
        <w:tc>
          <w:tcPr>
            <w:tcW w:w="3070" w:type="dxa"/>
            <w:tcBorders>
              <w:top w:val="single" w:sz="4" w:space="0" w:color="auto"/>
              <w:left w:val="single" w:sz="4" w:space="0" w:color="auto"/>
              <w:bottom w:val="single" w:sz="4" w:space="0" w:color="auto"/>
              <w:right w:val="single" w:sz="4" w:space="0" w:color="auto"/>
            </w:tcBorders>
            <w:hideMark/>
          </w:tcPr>
          <w:p w14:paraId="0478EF78" w14:textId="77777777" w:rsidR="00D33815" w:rsidRPr="00CB4A63" w:rsidRDefault="00D33815">
            <w:pPr>
              <w:spacing w:after="0" w:line="240" w:lineRule="auto"/>
              <w:jc w:val="center"/>
              <w:rPr>
                <w:rFonts w:ascii="Arial" w:hAnsi="Arial" w:cs="Arial"/>
                <w:b/>
                <w:sz w:val="20"/>
                <w:szCs w:val="20"/>
              </w:rPr>
            </w:pPr>
          </w:p>
          <w:p w14:paraId="2E879328" w14:textId="77777777" w:rsidR="00AE53C7" w:rsidRPr="00CB4A63" w:rsidRDefault="00AE53C7">
            <w:pPr>
              <w:spacing w:after="0" w:line="240" w:lineRule="auto"/>
              <w:jc w:val="center"/>
              <w:rPr>
                <w:rFonts w:ascii="Arial" w:hAnsi="Arial" w:cs="Arial"/>
                <w:b/>
                <w:sz w:val="20"/>
                <w:szCs w:val="20"/>
              </w:rPr>
            </w:pPr>
            <w:r>
              <w:rPr>
                <w:rFonts w:ascii="Arial" w:hAnsi="Arial"/>
                <w:b/>
                <w:sz w:val="20"/>
              </w:rPr>
              <w:t>Priekšmets</w:t>
            </w:r>
          </w:p>
        </w:tc>
        <w:tc>
          <w:tcPr>
            <w:tcW w:w="6536" w:type="dxa"/>
            <w:tcBorders>
              <w:top w:val="single" w:sz="4" w:space="0" w:color="auto"/>
              <w:left w:val="single" w:sz="4" w:space="0" w:color="auto"/>
              <w:bottom w:val="single" w:sz="4" w:space="0" w:color="auto"/>
              <w:right w:val="single" w:sz="4" w:space="0" w:color="auto"/>
            </w:tcBorders>
            <w:hideMark/>
          </w:tcPr>
          <w:p w14:paraId="222520BA" w14:textId="77777777" w:rsidR="00D33815" w:rsidRPr="00CB4A63" w:rsidRDefault="00D33815">
            <w:pPr>
              <w:spacing w:after="0" w:line="240" w:lineRule="auto"/>
              <w:rPr>
                <w:rFonts w:ascii="Arial" w:hAnsi="Arial" w:cs="Arial"/>
                <w:sz w:val="20"/>
                <w:szCs w:val="20"/>
              </w:rPr>
            </w:pPr>
          </w:p>
          <w:p w14:paraId="05654615" w14:textId="77777777" w:rsidR="00AE53C7" w:rsidRPr="00CB4A63" w:rsidRDefault="00267B86">
            <w:pPr>
              <w:spacing w:after="0" w:line="240" w:lineRule="auto"/>
              <w:rPr>
                <w:rFonts w:ascii="Arial" w:hAnsi="Arial" w:cs="Arial"/>
                <w:sz w:val="20"/>
                <w:szCs w:val="20"/>
              </w:rPr>
            </w:pPr>
            <w:r>
              <w:rPr>
                <w:rFonts w:ascii="Arial" w:hAnsi="Arial"/>
                <w:sz w:val="20"/>
              </w:rPr>
              <w:t>Pagaidu līgumiskais satvars kopējo Eiropas NETO pienākumu pārvaldībai un koordinēšanai, ko veic NETO komiteja saistībā ar TSO plāna ieviešanu.</w:t>
            </w:r>
          </w:p>
          <w:p w14:paraId="193E442F" w14:textId="77777777" w:rsidR="00D33815" w:rsidRPr="00CB4A63" w:rsidRDefault="00D33815">
            <w:pPr>
              <w:spacing w:after="0" w:line="240" w:lineRule="auto"/>
              <w:rPr>
                <w:rFonts w:ascii="Arial" w:hAnsi="Arial" w:cs="Arial"/>
                <w:i/>
                <w:sz w:val="20"/>
                <w:szCs w:val="20"/>
              </w:rPr>
            </w:pPr>
          </w:p>
        </w:tc>
      </w:tr>
      <w:tr w:rsidR="00AE53C7" w:rsidRPr="00CB4A63" w14:paraId="70AA799D" w14:textId="77777777" w:rsidTr="00AE53C7">
        <w:tc>
          <w:tcPr>
            <w:tcW w:w="3070" w:type="dxa"/>
            <w:tcBorders>
              <w:top w:val="single" w:sz="4" w:space="0" w:color="auto"/>
              <w:left w:val="single" w:sz="4" w:space="0" w:color="auto"/>
              <w:bottom w:val="single" w:sz="4" w:space="0" w:color="auto"/>
              <w:right w:val="single" w:sz="4" w:space="0" w:color="auto"/>
            </w:tcBorders>
          </w:tcPr>
          <w:p w14:paraId="69A42E56" w14:textId="77777777" w:rsidR="00AE53C7" w:rsidRPr="00CB4A63" w:rsidRDefault="00AE53C7">
            <w:pPr>
              <w:spacing w:after="0" w:line="240" w:lineRule="auto"/>
              <w:jc w:val="center"/>
              <w:rPr>
                <w:rFonts w:ascii="Arial" w:hAnsi="Arial" w:cs="Arial"/>
                <w:b/>
                <w:sz w:val="20"/>
                <w:szCs w:val="20"/>
              </w:rPr>
            </w:pPr>
          </w:p>
          <w:p w14:paraId="5A927F38" w14:textId="77777777" w:rsidR="00AE53C7" w:rsidRPr="00CB4A63" w:rsidRDefault="00AE53C7">
            <w:pPr>
              <w:spacing w:after="0" w:line="240" w:lineRule="auto"/>
              <w:jc w:val="center"/>
              <w:rPr>
                <w:rFonts w:ascii="Arial" w:hAnsi="Arial" w:cs="Arial"/>
                <w:b/>
                <w:sz w:val="20"/>
                <w:szCs w:val="20"/>
              </w:rPr>
            </w:pPr>
            <w:r>
              <w:rPr>
                <w:rFonts w:ascii="Arial" w:hAnsi="Arial"/>
                <w:b/>
                <w:sz w:val="20"/>
              </w:rPr>
              <w:t>Darbības joma</w:t>
            </w:r>
          </w:p>
        </w:tc>
        <w:tc>
          <w:tcPr>
            <w:tcW w:w="6536" w:type="dxa"/>
            <w:tcBorders>
              <w:top w:val="single" w:sz="4" w:space="0" w:color="auto"/>
              <w:left w:val="single" w:sz="4" w:space="0" w:color="auto"/>
              <w:bottom w:val="single" w:sz="4" w:space="0" w:color="auto"/>
              <w:right w:val="single" w:sz="4" w:space="0" w:color="auto"/>
            </w:tcBorders>
          </w:tcPr>
          <w:p w14:paraId="4127695A" w14:textId="77777777" w:rsidR="00AE53C7" w:rsidRPr="00CB4A63" w:rsidRDefault="00AE53C7">
            <w:pPr>
              <w:spacing w:after="0" w:line="240" w:lineRule="auto"/>
              <w:jc w:val="center"/>
              <w:rPr>
                <w:rFonts w:ascii="Arial" w:hAnsi="Arial" w:cs="Arial"/>
                <w:i/>
                <w:sz w:val="20"/>
                <w:szCs w:val="20"/>
              </w:rPr>
            </w:pPr>
          </w:p>
          <w:p w14:paraId="20016BA7" w14:textId="77777777" w:rsidR="00AE53C7" w:rsidRPr="00CB4A63" w:rsidRDefault="00AE53C7">
            <w:pPr>
              <w:pStyle w:val="Komentrateksts"/>
              <w:spacing w:after="0" w:line="276" w:lineRule="auto"/>
              <w:jc w:val="both"/>
              <w:rPr>
                <w:rFonts w:ascii="Arial" w:hAnsi="Arial" w:cs="Arial"/>
              </w:rPr>
            </w:pPr>
            <w:r>
              <w:rPr>
                <w:rFonts w:ascii="Arial" w:hAnsi="Arial"/>
              </w:rPr>
              <w:t>Pagaidu regulējuma izveide, lai atvieglotu nepieciešamo sadarbību starp izvirzītajiem NETO attiecībā uz visu kopīgo uzdevumu izpildi, ko nepieciešams veikt saistībā ar:</w:t>
            </w:r>
          </w:p>
          <w:p w14:paraId="718BA3DB" w14:textId="77777777" w:rsidR="00AE53C7" w:rsidRPr="00CB4A63" w:rsidRDefault="00AE53C7">
            <w:pPr>
              <w:pStyle w:val="Komentrateksts"/>
              <w:spacing w:after="0" w:line="276" w:lineRule="auto"/>
              <w:ind w:left="360"/>
              <w:jc w:val="both"/>
              <w:rPr>
                <w:rFonts w:ascii="Arial" w:hAnsi="Arial" w:cs="Arial"/>
              </w:rPr>
            </w:pPr>
          </w:p>
          <w:p w14:paraId="1519FF9F" w14:textId="77777777" w:rsidR="00AE53C7" w:rsidRPr="00CB4A63" w:rsidRDefault="00D33815" w:rsidP="00384080">
            <w:pPr>
              <w:pStyle w:val="Komentrateksts"/>
              <w:numPr>
                <w:ilvl w:val="1"/>
                <w:numId w:val="66"/>
              </w:numPr>
              <w:spacing w:after="0" w:line="276" w:lineRule="auto"/>
              <w:ind w:left="361" w:hanging="432"/>
              <w:jc w:val="both"/>
              <w:rPr>
                <w:rFonts w:ascii="Arial" w:hAnsi="Arial" w:cs="Arial"/>
              </w:rPr>
            </w:pPr>
            <w:r>
              <w:rPr>
                <w:rFonts w:ascii="Arial" w:hAnsi="Arial"/>
              </w:rPr>
              <w:t xml:space="preserve">TSO plāna izstrādi un iesniegšanu saskaņā ar CACM regulas 7. panta 3. punktu; </w:t>
            </w:r>
          </w:p>
          <w:p w14:paraId="2170425E" w14:textId="77777777" w:rsidR="00AE53C7" w:rsidRPr="00CB4A63" w:rsidRDefault="00AE53C7">
            <w:pPr>
              <w:pStyle w:val="Komentrateksts"/>
              <w:spacing w:after="0" w:line="276" w:lineRule="auto"/>
              <w:ind w:left="361"/>
              <w:jc w:val="both"/>
              <w:rPr>
                <w:rFonts w:ascii="Arial" w:hAnsi="Arial" w:cs="Arial"/>
              </w:rPr>
            </w:pPr>
          </w:p>
          <w:p w14:paraId="6AAECE30" w14:textId="77777777" w:rsidR="00AE53C7" w:rsidRPr="00CB4A63" w:rsidRDefault="00D33815" w:rsidP="00384080">
            <w:pPr>
              <w:pStyle w:val="Komentrateksts"/>
              <w:numPr>
                <w:ilvl w:val="1"/>
                <w:numId w:val="66"/>
              </w:numPr>
              <w:spacing w:after="0" w:line="276" w:lineRule="auto"/>
              <w:ind w:left="361" w:hanging="432"/>
              <w:jc w:val="both"/>
              <w:rPr>
                <w:rFonts w:ascii="Arial" w:hAnsi="Arial" w:cs="Arial"/>
              </w:rPr>
            </w:pPr>
            <w:r>
              <w:rPr>
                <w:rFonts w:ascii="Arial" w:hAnsi="Arial"/>
              </w:rPr>
              <w:t>citu attiecīgo noteikumu un/vai metožu kopuma izstrādi un iesniegšanu, ko nepieciešams veikt saskaņā ar CACM regulas 9. panta 6. punktu;</w:t>
            </w:r>
          </w:p>
          <w:p w14:paraId="4F28F090" w14:textId="77777777" w:rsidR="00AE53C7" w:rsidRPr="00CB4A63" w:rsidRDefault="00AE53C7">
            <w:pPr>
              <w:pStyle w:val="Sarakstarindkopa"/>
              <w:spacing w:after="0" w:line="240" w:lineRule="auto"/>
              <w:ind w:left="361"/>
              <w:rPr>
                <w:rFonts w:ascii="Arial" w:hAnsi="Arial" w:cs="Arial"/>
                <w:sz w:val="20"/>
                <w:szCs w:val="20"/>
              </w:rPr>
            </w:pPr>
          </w:p>
          <w:p w14:paraId="70A19814" w14:textId="77777777" w:rsidR="00AE53C7" w:rsidRPr="00CB4A63" w:rsidRDefault="00D33815" w:rsidP="00384080">
            <w:pPr>
              <w:pStyle w:val="Komentrateksts"/>
              <w:numPr>
                <w:ilvl w:val="1"/>
                <w:numId w:val="66"/>
              </w:numPr>
              <w:spacing w:after="0" w:line="276" w:lineRule="auto"/>
              <w:ind w:left="361" w:hanging="432"/>
              <w:jc w:val="both"/>
              <w:rPr>
                <w:rFonts w:ascii="Arial" w:hAnsi="Arial" w:cs="Arial"/>
              </w:rPr>
            </w:pPr>
            <w:r>
              <w:rPr>
                <w:rFonts w:ascii="Arial" w:hAnsi="Arial"/>
              </w:rPr>
              <w:t>ilgstošas sadarbības līguma izstrādi, kā ierosināts TSO plānā;</w:t>
            </w:r>
          </w:p>
          <w:p w14:paraId="02543A52" w14:textId="77777777" w:rsidR="00AE53C7" w:rsidRPr="00CB4A63" w:rsidRDefault="00AE53C7">
            <w:pPr>
              <w:pStyle w:val="Sarakstarindkopa"/>
              <w:spacing w:after="0" w:line="240" w:lineRule="auto"/>
              <w:ind w:left="361"/>
              <w:rPr>
                <w:rFonts w:ascii="Arial" w:hAnsi="Arial" w:cs="Arial"/>
                <w:sz w:val="20"/>
                <w:szCs w:val="20"/>
              </w:rPr>
            </w:pPr>
          </w:p>
          <w:p w14:paraId="744E036C" w14:textId="77777777" w:rsidR="00AE53C7" w:rsidRPr="00CB4A63" w:rsidRDefault="00D33815" w:rsidP="00384080">
            <w:pPr>
              <w:pStyle w:val="Komentrateksts"/>
              <w:numPr>
                <w:ilvl w:val="1"/>
                <w:numId w:val="66"/>
              </w:numPr>
              <w:spacing w:after="0" w:line="276" w:lineRule="auto"/>
              <w:ind w:left="361" w:hanging="432"/>
              <w:jc w:val="both"/>
              <w:rPr>
                <w:rFonts w:ascii="Arial" w:hAnsi="Arial" w:cs="Arial"/>
              </w:rPr>
            </w:pPr>
            <w:r>
              <w:rPr>
                <w:rFonts w:ascii="Arial" w:hAnsi="Arial"/>
              </w:rPr>
              <w:t>jebkuriem papildu uzdevumiem, par kuriem puses var ik pa laikam vienprātīgi vienoties.</w:t>
            </w:r>
          </w:p>
          <w:p w14:paraId="6FE649CF" w14:textId="77777777" w:rsidR="00AE53C7" w:rsidRPr="00CB4A63" w:rsidRDefault="00AE53C7">
            <w:pPr>
              <w:pStyle w:val="Sarakstarindkopa"/>
              <w:spacing w:after="0" w:line="240" w:lineRule="auto"/>
              <w:ind w:left="1080"/>
              <w:rPr>
                <w:rFonts w:ascii="Arial" w:hAnsi="Arial" w:cs="Arial"/>
                <w:sz w:val="20"/>
                <w:szCs w:val="20"/>
              </w:rPr>
            </w:pPr>
          </w:p>
        </w:tc>
      </w:tr>
      <w:tr w:rsidR="00AE53C7" w:rsidRPr="00CB4A63" w14:paraId="525C16A1" w14:textId="77777777" w:rsidTr="004D328A">
        <w:trPr>
          <w:trHeight w:val="638"/>
        </w:trPr>
        <w:tc>
          <w:tcPr>
            <w:tcW w:w="3070" w:type="dxa"/>
            <w:tcBorders>
              <w:top w:val="single" w:sz="4" w:space="0" w:color="auto"/>
              <w:left w:val="single" w:sz="4" w:space="0" w:color="auto"/>
              <w:bottom w:val="single" w:sz="4" w:space="0" w:color="auto"/>
              <w:right w:val="single" w:sz="4" w:space="0" w:color="auto"/>
            </w:tcBorders>
          </w:tcPr>
          <w:p w14:paraId="57088022" w14:textId="77777777" w:rsidR="00AE53C7" w:rsidRPr="00CB4A63" w:rsidRDefault="00AE53C7">
            <w:pPr>
              <w:spacing w:after="0" w:line="240" w:lineRule="auto"/>
              <w:jc w:val="center"/>
              <w:rPr>
                <w:rFonts w:ascii="Arial" w:hAnsi="Arial" w:cs="Arial"/>
                <w:b/>
                <w:sz w:val="20"/>
                <w:szCs w:val="20"/>
              </w:rPr>
            </w:pPr>
          </w:p>
          <w:p w14:paraId="7C287B2E" w14:textId="77777777" w:rsidR="00AE53C7" w:rsidRPr="00CB4A63" w:rsidRDefault="00AE53C7">
            <w:pPr>
              <w:spacing w:after="0" w:line="240" w:lineRule="auto"/>
              <w:jc w:val="center"/>
              <w:rPr>
                <w:rFonts w:ascii="Arial" w:hAnsi="Arial" w:cs="Arial"/>
                <w:b/>
                <w:sz w:val="20"/>
                <w:szCs w:val="20"/>
              </w:rPr>
            </w:pPr>
            <w:r>
              <w:rPr>
                <w:rFonts w:ascii="Arial" w:hAnsi="Arial"/>
                <w:b/>
                <w:sz w:val="20"/>
              </w:rPr>
              <w:t xml:space="preserve">Puses </w:t>
            </w:r>
          </w:p>
          <w:p w14:paraId="380A83F4" w14:textId="77777777" w:rsidR="00AE53C7" w:rsidRPr="00CB4A63" w:rsidRDefault="00AE53C7">
            <w:pPr>
              <w:spacing w:after="0" w:line="240" w:lineRule="auto"/>
              <w:jc w:val="center"/>
              <w:rPr>
                <w:rFonts w:ascii="Arial" w:hAnsi="Arial" w:cs="Arial"/>
                <w:b/>
                <w:sz w:val="20"/>
                <w:szCs w:val="20"/>
              </w:rPr>
            </w:pPr>
          </w:p>
        </w:tc>
        <w:tc>
          <w:tcPr>
            <w:tcW w:w="6536" w:type="dxa"/>
            <w:tcBorders>
              <w:top w:val="single" w:sz="4" w:space="0" w:color="auto"/>
              <w:left w:val="single" w:sz="4" w:space="0" w:color="auto"/>
              <w:bottom w:val="single" w:sz="4" w:space="0" w:color="auto"/>
              <w:right w:val="single" w:sz="4" w:space="0" w:color="auto"/>
            </w:tcBorders>
          </w:tcPr>
          <w:p w14:paraId="3A51FB40" w14:textId="77777777" w:rsidR="0092228D" w:rsidRPr="00CB4A63" w:rsidRDefault="0092228D" w:rsidP="007F6576">
            <w:pPr>
              <w:spacing w:after="0" w:line="240" w:lineRule="auto"/>
              <w:rPr>
                <w:rFonts w:ascii="Arial" w:hAnsi="Arial" w:cs="Arial"/>
                <w:sz w:val="20"/>
                <w:szCs w:val="20"/>
              </w:rPr>
            </w:pPr>
          </w:p>
          <w:p w14:paraId="06750561" w14:textId="452F1553" w:rsidR="00D33815" w:rsidRPr="00CB4A63" w:rsidRDefault="00267B86" w:rsidP="007F6576">
            <w:pPr>
              <w:spacing w:after="0" w:line="240" w:lineRule="auto"/>
              <w:rPr>
                <w:rFonts w:ascii="Arial" w:hAnsi="Arial" w:cs="Arial"/>
                <w:i/>
                <w:sz w:val="20"/>
                <w:szCs w:val="20"/>
              </w:rPr>
            </w:pPr>
            <w:r>
              <w:rPr>
                <w:rFonts w:ascii="Arial" w:hAnsi="Arial"/>
                <w:sz w:val="20"/>
              </w:rPr>
              <w:t>Visi NETO</w:t>
            </w:r>
          </w:p>
        </w:tc>
      </w:tr>
      <w:tr w:rsidR="00AE53C7" w:rsidRPr="00CB4A63" w14:paraId="33EFFFA1" w14:textId="77777777" w:rsidTr="004D328A">
        <w:trPr>
          <w:trHeight w:val="845"/>
        </w:trPr>
        <w:tc>
          <w:tcPr>
            <w:tcW w:w="3070" w:type="dxa"/>
            <w:tcBorders>
              <w:top w:val="single" w:sz="4" w:space="0" w:color="auto"/>
              <w:left w:val="single" w:sz="4" w:space="0" w:color="auto"/>
              <w:bottom w:val="single" w:sz="4" w:space="0" w:color="auto"/>
              <w:right w:val="single" w:sz="4" w:space="0" w:color="auto"/>
            </w:tcBorders>
          </w:tcPr>
          <w:p w14:paraId="2792254A" w14:textId="77777777" w:rsidR="00AE53C7" w:rsidRPr="00CB4A63" w:rsidRDefault="00AE53C7">
            <w:pPr>
              <w:spacing w:after="0" w:line="240" w:lineRule="auto"/>
              <w:jc w:val="center"/>
              <w:rPr>
                <w:rFonts w:ascii="Arial" w:hAnsi="Arial" w:cs="Arial"/>
                <w:b/>
                <w:sz w:val="20"/>
                <w:szCs w:val="20"/>
              </w:rPr>
            </w:pPr>
          </w:p>
          <w:p w14:paraId="2CAD6180" w14:textId="77777777" w:rsidR="00AE53C7" w:rsidRPr="00CB4A63" w:rsidRDefault="00AE53C7">
            <w:pPr>
              <w:spacing w:after="0" w:line="240" w:lineRule="auto"/>
              <w:jc w:val="center"/>
              <w:rPr>
                <w:rFonts w:ascii="Arial" w:hAnsi="Arial" w:cs="Arial"/>
                <w:b/>
                <w:sz w:val="20"/>
                <w:szCs w:val="20"/>
              </w:rPr>
            </w:pPr>
            <w:r>
              <w:rPr>
                <w:rFonts w:ascii="Arial" w:hAnsi="Arial"/>
                <w:b/>
                <w:sz w:val="20"/>
              </w:rPr>
              <w:t>Pušu pienākumi</w:t>
            </w:r>
          </w:p>
        </w:tc>
        <w:tc>
          <w:tcPr>
            <w:tcW w:w="6536" w:type="dxa"/>
            <w:tcBorders>
              <w:top w:val="single" w:sz="4" w:space="0" w:color="auto"/>
              <w:left w:val="single" w:sz="4" w:space="0" w:color="auto"/>
              <w:bottom w:val="single" w:sz="4" w:space="0" w:color="auto"/>
              <w:right w:val="single" w:sz="4" w:space="0" w:color="auto"/>
            </w:tcBorders>
          </w:tcPr>
          <w:p w14:paraId="12822845" w14:textId="77777777" w:rsidR="00AE53C7" w:rsidRPr="00CB4A63" w:rsidRDefault="00AE53C7" w:rsidP="008715A6">
            <w:pPr>
              <w:pStyle w:val="Sarakstarindkopa"/>
              <w:numPr>
                <w:ilvl w:val="0"/>
                <w:numId w:val="68"/>
              </w:numPr>
              <w:spacing w:after="0" w:line="240" w:lineRule="auto"/>
              <w:rPr>
                <w:rFonts w:ascii="Arial" w:hAnsi="Arial" w:cs="Arial"/>
                <w:sz w:val="20"/>
                <w:szCs w:val="20"/>
              </w:rPr>
            </w:pPr>
            <w:r>
              <w:rPr>
                <w:rFonts w:ascii="Arial" w:hAnsi="Arial"/>
                <w:sz w:val="20"/>
              </w:rPr>
              <w:t>Labākās izpildes pienākums un labticīga sadarbība, lai īstenotu PNSL darbības jomu.</w:t>
            </w:r>
          </w:p>
          <w:p w14:paraId="264F9E75" w14:textId="77777777" w:rsidR="00AE53C7" w:rsidRPr="00CB4A63" w:rsidRDefault="00AE53C7" w:rsidP="008715A6">
            <w:pPr>
              <w:pStyle w:val="Sarakstarindkopa"/>
              <w:numPr>
                <w:ilvl w:val="0"/>
                <w:numId w:val="68"/>
              </w:numPr>
              <w:spacing w:after="0" w:line="240" w:lineRule="auto"/>
              <w:rPr>
                <w:rFonts w:ascii="Arial" w:hAnsi="Arial" w:cs="Arial"/>
                <w:sz w:val="20"/>
                <w:szCs w:val="20"/>
              </w:rPr>
            </w:pPr>
            <w:r>
              <w:rPr>
                <w:rFonts w:ascii="Arial" w:hAnsi="Arial"/>
                <w:sz w:val="20"/>
              </w:rPr>
              <w:t>Sadarbība, pamatojoties uz nediskriminācijas un subsidiaritātes principu.</w:t>
            </w:r>
          </w:p>
          <w:p w14:paraId="577EBB9B" w14:textId="77777777" w:rsidR="00D33815" w:rsidRPr="00CB4A63" w:rsidRDefault="00D33815">
            <w:pPr>
              <w:spacing w:after="0" w:line="240" w:lineRule="auto"/>
              <w:rPr>
                <w:rFonts w:ascii="Arial" w:hAnsi="Arial" w:cs="Arial"/>
                <w:sz w:val="20"/>
                <w:szCs w:val="20"/>
              </w:rPr>
            </w:pPr>
          </w:p>
        </w:tc>
      </w:tr>
      <w:tr w:rsidR="00AE53C7" w:rsidRPr="00CB4A63" w14:paraId="6BF5E3E2" w14:textId="77777777" w:rsidTr="00AE53C7">
        <w:trPr>
          <w:trHeight w:val="688"/>
        </w:trPr>
        <w:tc>
          <w:tcPr>
            <w:tcW w:w="3070" w:type="dxa"/>
            <w:tcBorders>
              <w:top w:val="single" w:sz="4" w:space="0" w:color="auto"/>
              <w:left w:val="single" w:sz="4" w:space="0" w:color="auto"/>
              <w:bottom w:val="single" w:sz="4" w:space="0" w:color="auto"/>
              <w:right w:val="single" w:sz="4" w:space="0" w:color="auto"/>
            </w:tcBorders>
          </w:tcPr>
          <w:p w14:paraId="33EC7E95" w14:textId="77777777" w:rsidR="00AE53C7" w:rsidRPr="00CB4A63" w:rsidRDefault="00AE53C7">
            <w:pPr>
              <w:spacing w:after="0" w:line="240" w:lineRule="auto"/>
              <w:jc w:val="center"/>
              <w:rPr>
                <w:rFonts w:ascii="Arial" w:hAnsi="Arial" w:cs="Arial"/>
                <w:b/>
                <w:sz w:val="20"/>
                <w:szCs w:val="20"/>
              </w:rPr>
            </w:pPr>
          </w:p>
          <w:p w14:paraId="12C0EFB3" w14:textId="77777777" w:rsidR="00AE53C7" w:rsidRPr="00CB4A63" w:rsidRDefault="00AE53C7">
            <w:pPr>
              <w:spacing w:after="0" w:line="240" w:lineRule="auto"/>
              <w:jc w:val="center"/>
              <w:rPr>
                <w:rFonts w:ascii="Arial" w:hAnsi="Arial" w:cs="Arial"/>
                <w:b/>
                <w:sz w:val="20"/>
                <w:szCs w:val="20"/>
              </w:rPr>
            </w:pPr>
            <w:r>
              <w:rPr>
                <w:rFonts w:ascii="Arial" w:hAnsi="Arial"/>
                <w:b/>
                <w:sz w:val="20"/>
              </w:rPr>
              <w:t>Piemērojamie tiesību akti</w:t>
            </w:r>
          </w:p>
        </w:tc>
        <w:tc>
          <w:tcPr>
            <w:tcW w:w="6536" w:type="dxa"/>
            <w:tcBorders>
              <w:top w:val="single" w:sz="4" w:space="0" w:color="auto"/>
              <w:left w:val="single" w:sz="4" w:space="0" w:color="auto"/>
              <w:bottom w:val="single" w:sz="4" w:space="0" w:color="auto"/>
              <w:right w:val="single" w:sz="4" w:space="0" w:color="auto"/>
            </w:tcBorders>
          </w:tcPr>
          <w:p w14:paraId="0EB86A24" w14:textId="77777777" w:rsidR="00AE53C7" w:rsidRPr="00CB4A63" w:rsidRDefault="00AE53C7">
            <w:pPr>
              <w:spacing w:after="0" w:line="240" w:lineRule="auto"/>
              <w:jc w:val="center"/>
              <w:rPr>
                <w:rFonts w:ascii="Arial" w:hAnsi="Arial" w:cs="Arial"/>
                <w:sz w:val="20"/>
                <w:szCs w:val="20"/>
              </w:rPr>
            </w:pPr>
          </w:p>
          <w:p w14:paraId="53CC9ED3" w14:textId="77777777" w:rsidR="00AE53C7" w:rsidRPr="00CB4A63" w:rsidRDefault="00AE53C7">
            <w:pPr>
              <w:spacing w:after="0" w:line="240" w:lineRule="auto"/>
              <w:jc w:val="center"/>
              <w:rPr>
                <w:rFonts w:ascii="Arial" w:hAnsi="Arial" w:cs="Arial"/>
                <w:sz w:val="20"/>
                <w:szCs w:val="20"/>
              </w:rPr>
            </w:pPr>
            <w:r>
              <w:rPr>
                <w:rFonts w:ascii="Arial" w:hAnsi="Arial"/>
                <w:sz w:val="20"/>
              </w:rPr>
              <w:t>Beļģijas tiesību akti</w:t>
            </w:r>
          </w:p>
        </w:tc>
      </w:tr>
      <w:tr w:rsidR="00AE53C7" w:rsidRPr="00CB4A63" w14:paraId="3381034A" w14:textId="77777777" w:rsidTr="00AE53C7">
        <w:trPr>
          <w:trHeight w:val="567"/>
        </w:trPr>
        <w:tc>
          <w:tcPr>
            <w:tcW w:w="3070" w:type="dxa"/>
            <w:tcBorders>
              <w:top w:val="single" w:sz="4" w:space="0" w:color="auto"/>
              <w:left w:val="single" w:sz="4" w:space="0" w:color="auto"/>
              <w:bottom w:val="single" w:sz="4" w:space="0" w:color="auto"/>
              <w:right w:val="single" w:sz="4" w:space="0" w:color="auto"/>
            </w:tcBorders>
          </w:tcPr>
          <w:p w14:paraId="53345022" w14:textId="77777777" w:rsidR="00AE53C7" w:rsidRPr="00CB4A63" w:rsidRDefault="00AE53C7">
            <w:pPr>
              <w:spacing w:after="0" w:line="240" w:lineRule="auto"/>
              <w:jc w:val="center"/>
              <w:rPr>
                <w:rFonts w:ascii="Arial" w:hAnsi="Arial" w:cs="Arial"/>
                <w:b/>
                <w:sz w:val="20"/>
                <w:szCs w:val="20"/>
              </w:rPr>
            </w:pPr>
          </w:p>
          <w:p w14:paraId="18F30C15" w14:textId="77777777" w:rsidR="00AE53C7" w:rsidRPr="00CB4A63" w:rsidRDefault="00AE53C7">
            <w:pPr>
              <w:spacing w:after="0" w:line="240" w:lineRule="auto"/>
              <w:jc w:val="center"/>
              <w:rPr>
                <w:rFonts w:ascii="Arial" w:hAnsi="Arial" w:cs="Arial"/>
                <w:b/>
                <w:sz w:val="20"/>
                <w:szCs w:val="20"/>
              </w:rPr>
            </w:pPr>
            <w:r>
              <w:rPr>
                <w:rFonts w:ascii="Arial" w:hAnsi="Arial"/>
                <w:b/>
                <w:sz w:val="20"/>
              </w:rPr>
              <w:t>Strīdu izšķiršana</w:t>
            </w:r>
          </w:p>
        </w:tc>
        <w:tc>
          <w:tcPr>
            <w:tcW w:w="6536" w:type="dxa"/>
            <w:tcBorders>
              <w:top w:val="single" w:sz="4" w:space="0" w:color="auto"/>
              <w:left w:val="single" w:sz="4" w:space="0" w:color="auto"/>
              <w:bottom w:val="single" w:sz="4" w:space="0" w:color="auto"/>
              <w:right w:val="single" w:sz="4" w:space="0" w:color="auto"/>
            </w:tcBorders>
          </w:tcPr>
          <w:p w14:paraId="3F235267" w14:textId="77777777" w:rsidR="00AE53C7" w:rsidRPr="00CB4A63" w:rsidRDefault="00AE53C7">
            <w:pPr>
              <w:pStyle w:val="Sarakstarindkopa"/>
              <w:spacing w:after="0" w:line="240" w:lineRule="auto"/>
              <w:jc w:val="center"/>
              <w:rPr>
                <w:rFonts w:ascii="Arial" w:hAnsi="Arial" w:cs="Arial"/>
                <w:sz w:val="20"/>
                <w:szCs w:val="20"/>
              </w:rPr>
            </w:pPr>
          </w:p>
          <w:p w14:paraId="491D0BEA" w14:textId="77777777" w:rsidR="00AE53C7" w:rsidRPr="00CB4A63" w:rsidRDefault="00AE53C7" w:rsidP="008715A6">
            <w:pPr>
              <w:pStyle w:val="Sarakstarindkopa"/>
              <w:numPr>
                <w:ilvl w:val="0"/>
                <w:numId w:val="68"/>
              </w:numPr>
              <w:spacing w:after="0" w:line="240" w:lineRule="auto"/>
              <w:rPr>
                <w:rFonts w:ascii="Arial" w:hAnsi="Arial" w:cs="Arial"/>
                <w:sz w:val="20"/>
                <w:szCs w:val="20"/>
              </w:rPr>
            </w:pPr>
            <w:r>
              <w:rPr>
                <w:rFonts w:ascii="Arial" w:hAnsi="Arial"/>
                <w:sz w:val="20"/>
              </w:rPr>
              <w:t>Mierizlīgums, vēršoties ar strīdus jautājumu pie PNSL ietvaros izveidotās komitejas.</w:t>
            </w:r>
          </w:p>
          <w:p w14:paraId="7A5EE952" w14:textId="77777777" w:rsidR="00AE53C7" w:rsidRPr="00CB4A63" w:rsidRDefault="00AE53C7" w:rsidP="008715A6">
            <w:pPr>
              <w:pStyle w:val="Sarakstarindkopa"/>
              <w:numPr>
                <w:ilvl w:val="0"/>
                <w:numId w:val="68"/>
              </w:numPr>
              <w:spacing w:after="0" w:line="240" w:lineRule="auto"/>
              <w:rPr>
                <w:rFonts w:ascii="Arial" w:hAnsi="Arial" w:cs="Arial"/>
                <w:sz w:val="20"/>
                <w:szCs w:val="20"/>
              </w:rPr>
            </w:pPr>
            <w:r>
              <w:rPr>
                <w:rFonts w:ascii="Arial" w:hAnsi="Arial"/>
                <w:sz w:val="20"/>
              </w:rPr>
              <w:t>Ja neizdodas panākt mierizlīgumu, komiteja aicina ESA paust nesaistošu viedokli par strīdu.</w:t>
            </w:r>
          </w:p>
          <w:p w14:paraId="2629DC69" w14:textId="77777777" w:rsidR="00AE53C7" w:rsidRPr="00CB4A63" w:rsidRDefault="00AE53C7" w:rsidP="00384080">
            <w:pPr>
              <w:pStyle w:val="Sarakstarindkopa"/>
              <w:numPr>
                <w:ilvl w:val="0"/>
                <w:numId w:val="68"/>
              </w:numPr>
              <w:spacing w:after="0" w:line="240" w:lineRule="auto"/>
              <w:rPr>
                <w:rFonts w:ascii="Arial" w:hAnsi="Arial" w:cs="Arial"/>
                <w:sz w:val="20"/>
                <w:szCs w:val="20"/>
              </w:rPr>
            </w:pPr>
            <w:r>
              <w:rPr>
                <w:rFonts w:ascii="Arial" w:hAnsi="Arial"/>
                <w:sz w:val="20"/>
              </w:rPr>
              <w:t>Galējā gadījumā strīdu izskata šķīrējtiesā Briselē saskaņā ar Starptautiskās Tirdzniecības palātas šķīrējtiesas noteikumiem.</w:t>
            </w:r>
          </w:p>
          <w:p w14:paraId="2EF97818" w14:textId="77777777" w:rsidR="00AE53C7" w:rsidRPr="00CB4A63" w:rsidRDefault="00AE53C7">
            <w:pPr>
              <w:pStyle w:val="Sarakstarindkopa"/>
              <w:spacing w:after="0" w:line="240" w:lineRule="auto"/>
              <w:jc w:val="center"/>
              <w:rPr>
                <w:rFonts w:ascii="Arial" w:hAnsi="Arial" w:cs="Arial"/>
                <w:sz w:val="20"/>
                <w:szCs w:val="20"/>
              </w:rPr>
            </w:pPr>
          </w:p>
        </w:tc>
      </w:tr>
    </w:tbl>
    <w:p w14:paraId="4932B927" w14:textId="77777777" w:rsidR="001D5798" w:rsidRPr="00CB4A63" w:rsidRDefault="001D5798" w:rsidP="00AE53C7"/>
    <w:p w14:paraId="39F5F731" w14:textId="77777777" w:rsidR="003061D9" w:rsidRPr="00CB4A63" w:rsidRDefault="003061D9">
      <w:pPr>
        <w:spacing w:after="160" w:line="259" w:lineRule="auto"/>
        <w:rPr>
          <w:rFonts w:asciiTheme="majorHAnsi" w:eastAsia="Times New Roman" w:hAnsiTheme="majorHAnsi" w:cs="Times New Roman"/>
          <w:b/>
          <w:bCs/>
          <w:color w:val="2E74B5" w:themeColor="accent1" w:themeShade="BF"/>
          <w:sz w:val="28"/>
          <w:szCs w:val="28"/>
        </w:rPr>
      </w:pPr>
      <w:r>
        <w:br w:type="page"/>
      </w:r>
    </w:p>
    <w:p w14:paraId="2C18ED77" w14:textId="77777777" w:rsidR="002521F5" w:rsidRPr="00CB4A63" w:rsidRDefault="00AE53C7" w:rsidP="002521F5">
      <w:pPr>
        <w:pStyle w:val="Virsraksts1"/>
        <w:rPr>
          <w:rFonts w:eastAsia="Times New Roman" w:cs="Times New Roman"/>
          <w:b w:val="0"/>
        </w:rPr>
      </w:pPr>
      <w:bookmarkStart w:id="154" w:name="_Toc479786237"/>
      <w:bookmarkStart w:id="155" w:name="_Toc484770716"/>
      <w:r>
        <w:lastRenderedPageBreak/>
        <w:t xml:space="preserve">2. PIELIKUMS </w:t>
      </w:r>
      <w:r>
        <w:rPr>
          <w:rFonts w:ascii="Calibri" w:hAnsi="Calibri"/>
          <w:color w:val="2D74B5"/>
        </w:rPr>
        <w:t xml:space="preserve">– </w:t>
      </w:r>
      <w:r>
        <w:t>ND līgumu kopsavilkums</w:t>
      </w:r>
      <w:bookmarkEnd w:id="154"/>
      <w:bookmarkEnd w:id="155"/>
      <w:r>
        <w:t xml:space="preserve"> </w:t>
      </w:r>
    </w:p>
    <w:p w14:paraId="535ABFD4" w14:textId="77777777" w:rsidR="002521F5" w:rsidRPr="00CB4A63" w:rsidRDefault="002521F5" w:rsidP="002521F5">
      <w:pPr>
        <w:pStyle w:val="Virsraksts2"/>
        <w:ind w:left="567"/>
        <w:rPr>
          <w:rFonts w:eastAsia="Times New Roman"/>
        </w:rPr>
      </w:pPr>
      <w:bookmarkStart w:id="156" w:name="_Toc479786238"/>
      <w:bookmarkStart w:id="157" w:name="_Toc484770717"/>
      <w:r>
        <w:t>NETO ND darbības līguma projekta kopsavilkums</w:t>
      </w:r>
      <w:bookmarkEnd w:id="156"/>
      <w:bookmarkEnd w:id="157"/>
    </w:p>
    <w:p w14:paraId="5B7DFA6F" w14:textId="77777777" w:rsidR="002521F5" w:rsidRPr="00CB4A63" w:rsidRDefault="002521F5" w:rsidP="00384080">
      <w:pPr>
        <w:pStyle w:val="Sarakstarindkopa"/>
        <w:numPr>
          <w:ilvl w:val="0"/>
          <w:numId w:val="41"/>
        </w:numPr>
        <w:spacing w:before="240" w:after="120" w:line="240" w:lineRule="auto"/>
        <w:jc w:val="both"/>
        <w:rPr>
          <w:rFonts w:eastAsia="Times New Roman" w:cs="Times New Roman"/>
          <w:b/>
        </w:rPr>
      </w:pPr>
      <w:r>
        <w:rPr>
          <w:b/>
        </w:rPr>
        <w:t xml:space="preserve">Mērķis </w:t>
      </w:r>
    </w:p>
    <w:p w14:paraId="0AFD6D0A" w14:textId="77777777" w:rsidR="002521F5" w:rsidRPr="00CB4A63" w:rsidRDefault="002521F5" w:rsidP="002521F5">
      <w:pPr>
        <w:pStyle w:val="Sarakstarindkopa"/>
        <w:spacing w:before="360" w:after="120" w:line="240" w:lineRule="auto"/>
        <w:ind w:left="0"/>
        <w:jc w:val="both"/>
        <w:rPr>
          <w:rFonts w:ascii="Verdana" w:eastAsia="Times New Roman" w:hAnsi="Verdana" w:cs="Times New Roman"/>
          <w:sz w:val="19"/>
          <w:szCs w:val="19"/>
        </w:rPr>
      </w:pPr>
    </w:p>
    <w:p w14:paraId="374CBDA6" w14:textId="77777777" w:rsidR="002521F5" w:rsidRPr="00CB4A63" w:rsidRDefault="002521F5" w:rsidP="002521F5">
      <w:pPr>
        <w:pStyle w:val="Sarakstarindkopa"/>
        <w:spacing w:after="120"/>
        <w:ind w:left="0"/>
        <w:contextualSpacing w:val="0"/>
        <w:jc w:val="both"/>
      </w:pPr>
      <w:r>
        <w:t>Neto ND darbības līgumu (turpmāk – „</w:t>
      </w:r>
      <w:r>
        <w:rPr>
          <w:b/>
        </w:rPr>
        <w:t>NETO NDDL</w:t>
      </w:r>
      <w:r>
        <w:t>”) paraksta visi ND funkcionējošie NETO, tostarp apkalpotie NETO. Lai kļūtu par funkcionējošu NETO, ir jānoslēdz NETO NDDL.</w:t>
      </w:r>
    </w:p>
    <w:p w14:paraId="161458CE" w14:textId="77777777" w:rsidR="002521F5" w:rsidRPr="00CB4A63" w:rsidRDefault="002521F5" w:rsidP="002521F5">
      <w:pPr>
        <w:pStyle w:val="Sarakstarindkopa"/>
        <w:spacing w:after="120"/>
        <w:ind w:left="0"/>
        <w:contextualSpacing w:val="0"/>
        <w:jc w:val="both"/>
      </w:pPr>
      <w:r>
        <w:t>NETO NDDL mērķis ir noteikt galvenos funkcionējošo NETO sadarbības principus attiecībā uz ND TSO funkciju nākamās dienas sasaistē, kā arī noteikumus, saskaņā ar kuriem puses:</w:t>
      </w:r>
    </w:p>
    <w:p w14:paraId="259FA5F6" w14:textId="77777777" w:rsidR="002521F5" w:rsidRPr="00CB4A63" w:rsidRDefault="002521F5" w:rsidP="00384080">
      <w:pPr>
        <w:pStyle w:val="Sarakstarindkopa"/>
        <w:numPr>
          <w:ilvl w:val="0"/>
          <w:numId w:val="52"/>
        </w:numPr>
        <w:spacing w:after="120"/>
        <w:contextualSpacing w:val="0"/>
        <w:jc w:val="both"/>
      </w:pPr>
      <w:r>
        <w:t>projektē, testē un pieprasa izmaiņas ND TSO funkcijas operatīvajos līdzekļos (tostarp ND TSO funkcijas līdzekļos, uz kuriem attiecas starp ND TSO funkcijas līdzekļu līdzīpašniekiem noslēgtais līgums);</w:t>
      </w:r>
    </w:p>
    <w:p w14:paraId="78AEA103" w14:textId="77777777" w:rsidR="002521F5" w:rsidRPr="00CB4A63" w:rsidRDefault="002521F5" w:rsidP="00384080">
      <w:pPr>
        <w:pStyle w:val="Sarakstarindkopa"/>
        <w:numPr>
          <w:ilvl w:val="0"/>
          <w:numId w:val="52"/>
        </w:numPr>
        <w:spacing w:after="120"/>
        <w:contextualSpacing w:val="0"/>
        <w:jc w:val="both"/>
      </w:pPr>
      <w:r>
        <w:t xml:space="preserve">nodrošina ND TSO funkcijas darbību un izpildi. </w:t>
      </w:r>
    </w:p>
    <w:p w14:paraId="5E63D757" w14:textId="77777777" w:rsidR="002521F5" w:rsidRPr="00CB4A63" w:rsidRDefault="002521F5" w:rsidP="002521F5">
      <w:pPr>
        <w:pStyle w:val="Sarakstarindkopa"/>
        <w:spacing w:after="120"/>
        <w:ind w:left="0"/>
        <w:contextualSpacing w:val="0"/>
        <w:jc w:val="both"/>
      </w:pPr>
      <w:r>
        <w:t>Lai kļūtu par NETO NDDL pusi, jāizvirza NETO un jāparaksta VNSL.</w:t>
      </w:r>
    </w:p>
    <w:p w14:paraId="37490A22" w14:textId="77777777" w:rsidR="002521F5" w:rsidRPr="00CB4A63" w:rsidRDefault="002521F5" w:rsidP="002521F5">
      <w:pPr>
        <w:pStyle w:val="Sarakstarindkopa"/>
        <w:spacing w:after="120"/>
        <w:ind w:left="0"/>
        <w:contextualSpacing w:val="0"/>
        <w:jc w:val="both"/>
      </w:pPr>
    </w:p>
    <w:p w14:paraId="081698EA" w14:textId="77777777" w:rsidR="002521F5" w:rsidRPr="00CB4A63" w:rsidRDefault="002521F5" w:rsidP="00384080">
      <w:pPr>
        <w:pStyle w:val="Sarakstarindkopa"/>
        <w:numPr>
          <w:ilvl w:val="0"/>
          <w:numId w:val="41"/>
        </w:numPr>
        <w:spacing w:before="240" w:after="120" w:line="240" w:lineRule="auto"/>
        <w:jc w:val="both"/>
        <w:rPr>
          <w:rFonts w:eastAsia="Times New Roman" w:cs="Times New Roman"/>
          <w:b/>
        </w:rPr>
      </w:pPr>
      <w:r>
        <w:rPr>
          <w:b/>
        </w:rPr>
        <w:t xml:space="preserve">Vispārējie principi </w:t>
      </w:r>
    </w:p>
    <w:p w14:paraId="65F50553" w14:textId="77777777" w:rsidR="002521F5" w:rsidRPr="00CB4A63" w:rsidRDefault="002521F5" w:rsidP="002521F5">
      <w:pPr>
        <w:pStyle w:val="Sarakstarindkopa"/>
        <w:spacing w:before="240" w:after="120" w:line="240" w:lineRule="auto"/>
        <w:ind w:left="360"/>
        <w:jc w:val="both"/>
        <w:rPr>
          <w:rFonts w:ascii="Verdana" w:eastAsia="Times New Roman" w:hAnsi="Verdana" w:cs="Times New Roman"/>
          <w:b/>
          <w:sz w:val="19"/>
          <w:szCs w:val="19"/>
        </w:rPr>
      </w:pPr>
    </w:p>
    <w:p w14:paraId="03DA2376" w14:textId="77777777" w:rsidR="002521F5" w:rsidRPr="00CB4A63" w:rsidRDefault="002521F5" w:rsidP="00384080">
      <w:pPr>
        <w:pStyle w:val="Sarakstarindkopa"/>
        <w:numPr>
          <w:ilvl w:val="0"/>
          <w:numId w:val="54"/>
        </w:numPr>
        <w:spacing w:after="120"/>
        <w:contextualSpacing w:val="0"/>
        <w:jc w:val="both"/>
      </w:pPr>
      <w:r>
        <w:t xml:space="preserve">Dalība nākamās dienas sasaistē balstās uz turpmāk norādītajām iespējām. Funkcionālais NETO var piedalīties kā: </w:t>
      </w:r>
    </w:p>
    <w:p w14:paraId="628F2554" w14:textId="77777777" w:rsidR="002521F5" w:rsidRPr="00CB4A63" w:rsidRDefault="002521F5" w:rsidP="00384080">
      <w:pPr>
        <w:pStyle w:val="Sarakstarindkopa"/>
        <w:numPr>
          <w:ilvl w:val="0"/>
          <w:numId w:val="53"/>
        </w:numPr>
        <w:ind w:left="1418" w:hanging="567"/>
        <w:jc w:val="both"/>
      </w:pPr>
      <w:r>
        <w:t xml:space="preserve">koordinators/koordinatora vietnieks/operators; </w:t>
      </w:r>
    </w:p>
    <w:p w14:paraId="289801F3" w14:textId="77777777" w:rsidR="002521F5" w:rsidRPr="00CB4A63" w:rsidRDefault="002521F5" w:rsidP="00384080">
      <w:pPr>
        <w:pStyle w:val="Sarakstarindkopa"/>
        <w:numPr>
          <w:ilvl w:val="0"/>
          <w:numId w:val="53"/>
        </w:numPr>
        <w:ind w:left="1418" w:hanging="567"/>
        <w:jc w:val="both"/>
      </w:pPr>
      <w:r>
        <w:t>tikai operators;</w:t>
      </w:r>
    </w:p>
    <w:p w14:paraId="6A8F9979" w14:textId="77777777" w:rsidR="002521F5" w:rsidRPr="00CB4A63" w:rsidRDefault="002521F5" w:rsidP="00384080">
      <w:pPr>
        <w:pStyle w:val="Sarakstarindkopa"/>
        <w:numPr>
          <w:ilvl w:val="0"/>
          <w:numId w:val="53"/>
        </w:numPr>
        <w:ind w:left="1418" w:hanging="567"/>
        <w:jc w:val="both"/>
      </w:pPr>
      <w:r>
        <w:t>apkalpotais NETO.</w:t>
      </w:r>
    </w:p>
    <w:p w14:paraId="21FF9AC4" w14:textId="77777777" w:rsidR="002521F5" w:rsidRPr="00CB4A63" w:rsidRDefault="002521F5" w:rsidP="00384080">
      <w:pPr>
        <w:pStyle w:val="Sarakstarindkopa"/>
        <w:numPr>
          <w:ilvl w:val="0"/>
          <w:numId w:val="54"/>
        </w:numPr>
        <w:spacing w:after="120"/>
        <w:contextualSpacing w:val="0"/>
        <w:jc w:val="both"/>
      </w:pPr>
      <w:r>
        <w:t xml:space="preserve">Tādējādi galvenais subsidiaritātes princips un pieņemtā decentralizētā pieeja ir šāda: (i) paša NETO tirdzniecības platformas un kopīgās NETO NDDL tirgus sasaistes darbība un rezultāti ir katra NETO individuālā atbildība; (ii) nepieciešamie līgumi ar PSO, VPI un trešajām pusēm, lai padarītu pieejamu starprobežu jaudu un nodrošinātu saistīto starprobežu piegādi, ir NETO atbildība vietējā līmenī. </w:t>
      </w:r>
    </w:p>
    <w:p w14:paraId="65E10294" w14:textId="77777777" w:rsidR="002521F5" w:rsidRPr="00CB4A63" w:rsidRDefault="002521F5" w:rsidP="00384080">
      <w:pPr>
        <w:pStyle w:val="Sarakstarindkopa"/>
        <w:numPr>
          <w:ilvl w:val="0"/>
          <w:numId w:val="54"/>
        </w:numPr>
        <w:spacing w:after="120"/>
        <w:contextualSpacing w:val="0"/>
        <w:jc w:val="both"/>
      </w:pPr>
      <w:r>
        <w:t>Pārslodzes ieņēmumus saskaņā ar piemērojamām tiesību normām atkārtoti piešķir PSO vai VPI.</w:t>
      </w:r>
    </w:p>
    <w:p w14:paraId="042CDC82" w14:textId="77777777" w:rsidR="002521F5" w:rsidRPr="00CB4A63" w:rsidRDefault="002521F5" w:rsidP="00384080">
      <w:pPr>
        <w:pStyle w:val="Sarakstarindkopa"/>
        <w:numPr>
          <w:ilvl w:val="0"/>
          <w:numId w:val="54"/>
        </w:numPr>
        <w:spacing w:after="120"/>
        <w:contextualSpacing w:val="0"/>
        <w:jc w:val="both"/>
      </w:pPr>
      <w:r>
        <w:t xml:space="preserve">Puses vienojas izvērtēt NETO NDDL darbību vismaz reizi divos gados. </w:t>
      </w:r>
    </w:p>
    <w:p w14:paraId="48141A8D" w14:textId="77777777" w:rsidR="002521F5" w:rsidRPr="00CB4A63" w:rsidRDefault="002521F5" w:rsidP="00384080">
      <w:pPr>
        <w:pStyle w:val="Sarakstarindkopa"/>
        <w:numPr>
          <w:ilvl w:val="0"/>
          <w:numId w:val="54"/>
        </w:numPr>
        <w:spacing w:after="120"/>
        <w:contextualSpacing w:val="0"/>
        <w:jc w:val="both"/>
      </w:pPr>
      <w:r>
        <w:t>Saskaņā ar TSO plānu un CACM regulas 81. pantu viens NETO var deleģēt TSO funkcijas citam NETO.</w:t>
      </w:r>
    </w:p>
    <w:p w14:paraId="464B7D52" w14:textId="77777777" w:rsidR="002521F5" w:rsidRPr="00CB4A63" w:rsidRDefault="002521F5" w:rsidP="002521F5">
      <w:pPr>
        <w:pStyle w:val="Sarakstarindkopa"/>
        <w:spacing w:after="120"/>
        <w:ind w:left="360"/>
        <w:contextualSpacing w:val="0"/>
        <w:jc w:val="both"/>
      </w:pPr>
    </w:p>
    <w:p w14:paraId="5913946B" w14:textId="77777777" w:rsidR="002521F5" w:rsidRPr="00CB4A63" w:rsidRDefault="002521F5" w:rsidP="00384080">
      <w:pPr>
        <w:pStyle w:val="Sarakstarindkopa"/>
        <w:numPr>
          <w:ilvl w:val="0"/>
          <w:numId w:val="41"/>
        </w:numPr>
        <w:spacing w:before="240" w:after="120" w:line="240" w:lineRule="auto"/>
        <w:jc w:val="both"/>
        <w:rPr>
          <w:rFonts w:eastAsia="Times New Roman" w:cs="Times New Roman"/>
          <w:b/>
        </w:rPr>
      </w:pPr>
      <w:r>
        <w:rPr>
          <w:b/>
        </w:rPr>
        <w:t xml:space="preserve">Sadarbība attiecībā uz ND TSO funkcijas līdzekļiem un individuālajiem līdzekļiem </w:t>
      </w:r>
    </w:p>
    <w:p w14:paraId="5F31C0B5" w14:textId="77777777" w:rsidR="002521F5" w:rsidRPr="00CB4A63" w:rsidRDefault="002521F5" w:rsidP="002521F5">
      <w:pPr>
        <w:pStyle w:val="Sarakstarindkopa"/>
        <w:spacing w:before="240" w:after="120" w:line="240" w:lineRule="auto"/>
        <w:jc w:val="both"/>
        <w:rPr>
          <w:rFonts w:ascii="Verdana" w:eastAsia="Times New Roman" w:hAnsi="Verdana" w:cs="Times New Roman"/>
          <w:b/>
          <w:sz w:val="19"/>
          <w:szCs w:val="19"/>
        </w:rPr>
      </w:pPr>
    </w:p>
    <w:p w14:paraId="12BAD8EB" w14:textId="71150BDD" w:rsidR="002521F5" w:rsidRPr="00CB4A63" w:rsidRDefault="002521F5" w:rsidP="00384080">
      <w:pPr>
        <w:pStyle w:val="Sarakstarindkopa"/>
        <w:numPr>
          <w:ilvl w:val="0"/>
          <w:numId w:val="49"/>
        </w:numPr>
        <w:spacing w:after="120"/>
        <w:contextualSpacing w:val="0"/>
        <w:jc w:val="both"/>
      </w:pPr>
      <w:r>
        <w:t xml:space="preserve">NETO NDDL puses kopīgi izsaka priekšlikumus par ND TSO funkcijas līdzekļu projektēšanu un izstrādi, ko efektīvi izstrādā un uztur ND TSO funkcijas līdzekļu līdzīpašnieki. </w:t>
      </w:r>
    </w:p>
    <w:p w14:paraId="252057D6" w14:textId="77777777" w:rsidR="002521F5" w:rsidRPr="00CB4A63" w:rsidRDefault="002521F5" w:rsidP="00384080">
      <w:pPr>
        <w:pStyle w:val="Sarakstarindkopa"/>
        <w:numPr>
          <w:ilvl w:val="0"/>
          <w:numId w:val="49"/>
        </w:numPr>
        <w:spacing w:after="120"/>
        <w:contextualSpacing w:val="0"/>
        <w:jc w:val="both"/>
      </w:pPr>
      <w:r>
        <w:t>ND TSO funkcijas līdzekļi, ko izstrādā un uztur ND TSO funkcijas līdzekļu līdzīpašnieki, tiek nodrošināti „tādi, kā tie ir”, nesniedzot nekādu garantiju par piemērotību jebkādam konkrētam mērķim.</w:t>
      </w:r>
    </w:p>
    <w:p w14:paraId="64D66383" w14:textId="77777777" w:rsidR="002521F5" w:rsidRPr="00CB4A63" w:rsidRDefault="002521F5" w:rsidP="00384080">
      <w:pPr>
        <w:pStyle w:val="Sarakstarindkopa"/>
        <w:numPr>
          <w:ilvl w:val="0"/>
          <w:numId w:val="49"/>
        </w:numPr>
        <w:spacing w:after="120"/>
        <w:contextualSpacing w:val="0"/>
        <w:jc w:val="both"/>
      </w:pPr>
      <w:r>
        <w:t xml:space="preserve">Uz visiem ND TSO funkcijas līdzekļu izmaiņu priekšlikumiem attiecas NETO NDDL izmaiņu kontroles procedūras. </w:t>
      </w:r>
    </w:p>
    <w:p w14:paraId="0FB49054" w14:textId="77777777" w:rsidR="002521F5" w:rsidRPr="00CB4A63" w:rsidRDefault="002521F5" w:rsidP="00384080">
      <w:pPr>
        <w:pStyle w:val="Sarakstarindkopa"/>
        <w:numPr>
          <w:ilvl w:val="0"/>
          <w:numId w:val="49"/>
        </w:numPr>
        <w:spacing w:after="120"/>
        <w:contextualSpacing w:val="0"/>
        <w:jc w:val="both"/>
      </w:pPr>
      <w:r>
        <w:lastRenderedPageBreak/>
        <w:t>ND TSO funkcijas līdzekļu līdzīpašnieki vienojas par budžetu/izmaksām visiem NDS nepieciešamajiem ND TSO funkcijas līdzekļu izmaiņu priekšlikumiem, un visu NETO komiteja to apstiprina.</w:t>
      </w:r>
    </w:p>
    <w:p w14:paraId="1D11A409" w14:textId="77777777" w:rsidR="002521F5" w:rsidRPr="00CB4A63" w:rsidRDefault="002521F5" w:rsidP="00384080">
      <w:pPr>
        <w:pStyle w:val="Sarakstarindkopa"/>
        <w:numPr>
          <w:ilvl w:val="0"/>
          <w:numId w:val="49"/>
        </w:numPr>
        <w:spacing w:after="120"/>
        <w:contextualSpacing w:val="0"/>
        <w:jc w:val="both"/>
      </w:pPr>
      <w:r>
        <w:t>ND TSO funkcijas līdzekļi (izņemot aparatūru) tiek ievadīti ekspluatācijā tikai tad, kad ir izpildīti apstiprināšanas kritēriji saistībā ar testēšanu un simulāciju, ko veic NETO NDDL norādītā ND darbības komiteja.</w:t>
      </w:r>
    </w:p>
    <w:p w14:paraId="48CEA59E" w14:textId="77777777" w:rsidR="002521F5" w:rsidRPr="00CB4A63" w:rsidRDefault="002521F5" w:rsidP="002521F5">
      <w:pPr>
        <w:pStyle w:val="Sarakstarindkopa"/>
        <w:spacing w:after="120"/>
        <w:ind w:left="360"/>
        <w:contextualSpacing w:val="0"/>
        <w:jc w:val="both"/>
      </w:pPr>
    </w:p>
    <w:p w14:paraId="3AB468A7" w14:textId="77777777" w:rsidR="002521F5" w:rsidRPr="00CB4A63" w:rsidRDefault="002521F5" w:rsidP="00384080">
      <w:pPr>
        <w:pStyle w:val="Sarakstarindkopa"/>
        <w:numPr>
          <w:ilvl w:val="0"/>
          <w:numId w:val="41"/>
        </w:numPr>
        <w:spacing w:before="240" w:after="120" w:line="240" w:lineRule="auto"/>
        <w:jc w:val="both"/>
        <w:rPr>
          <w:rFonts w:eastAsia="Times New Roman" w:cs="Times New Roman"/>
          <w:b/>
        </w:rPr>
      </w:pPr>
      <w:r>
        <w:rPr>
          <w:b/>
        </w:rPr>
        <w:t xml:space="preserve">Ikdienas darbība </w:t>
      </w:r>
    </w:p>
    <w:p w14:paraId="361FA8BC" w14:textId="77777777" w:rsidR="002521F5" w:rsidRPr="00CB4A63" w:rsidRDefault="002521F5" w:rsidP="002521F5">
      <w:pPr>
        <w:pStyle w:val="Sarakstarindkopa"/>
        <w:spacing w:before="240" w:after="120" w:line="240" w:lineRule="auto"/>
        <w:jc w:val="both"/>
        <w:rPr>
          <w:rFonts w:ascii="Verdana" w:eastAsia="Times New Roman" w:hAnsi="Verdana" w:cs="Times New Roman"/>
          <w:b/>
          <w:sz w:val="19"/>
          <w:szCs w:val="19"/>
        </w:rPr>
      </w:pPr>
    </w:p>
    <w:p w14:paraId="7798F482" w14:textId="77777777" w:rsidR="002521F5" w:rsidRPr="00CB4A63" w:rsidRDefault="002521F5" w:rsidP="00384080">
      <w:pPr>
        <w:pStyle w:val="Sarakstarindkopa"/>
        <w:numPr>
          <w:ilvl w:val="0"/>
          <w:numId w:val="50"/>
        </w:numPr>
        <w:spacing w:after="120"/>
        <w:contextualSpacing w:val="0"/>
        <w:jc w:val="both"/>
      </w:pPr>
      <w:r>
        <w:t>Izvirzītais koordinators konkrētajā dienā koordinē un pārrauga ND sasaistes TSO funkcijas darbības. Koordinators un koordinatora vietnieks ikdienā vienlaicīgi veiks šīs darbības saskaņā ar NETO NDDL darbības norādījumiem. Operatoriem ir tiesības veikt ND sasaistes cenu aprēķina darbības „ēnas” režīmā.</w:t>
      </w:r>
    </w:p>
    <w:p w14:paraId="41E9129E" w14:textId="77777777" w:rsidR="002521F5" w:rsidRPr="00CB4A63" w:rsidRDefault="002521F5" w:rsidP="00384080">
      <w:pPr>
        <w:pStyle w:val="Sarakstarindkopa"/>
        <w:numPr>
          <w:ilvl w:val="0"/>
          <w:numId w:val="50"/>
        </w:numPr>
        <w:spacing w:after="120"/>
        <w:contextualSpacing w:val="0"/>
        <w:jc w:val="both"/>
      </w:pPr>
      <w:r>
        <w:t>Katra puse, kas īsteno ND sasaistes darbības, attiecīgā gadījumā un tad, ja tas nav uzdots citai pusei, nodrošina (i) tīkla funkcijas no attiecīgajiem PSO, kas jāievēro tirgus sasaistē; (ii) anonīmus un apkopotus pasūtījumu reģistrus katrā solīšanas zonā saistībā ar pasūtījumiem, ko tirgus dalībnieki iesnieguši to tirdzniecības platformās.</w:t>
      </w:r>
    </w:p>
    <w:p w14:paraId="257C06C0" w14:textId="77777777" w:rsidR="002521F5" w:rsidRPr="00CB4A63" w:rsidRDefault="002521F5" w:rsidP="00384080">
      <w:pPr>
        <w:pStyle w:val="Sarakstarindkopa"/>
        <w:numPr>
          <w:ilvl w:val="0"/>
          <w:numId w:val="50"/>
        </w:numPr>
        <w:spacing w:after="120"/>
        <w:contextualSpacing w:val="0"/>
        <w:jc w:val="both"/>
      </w:pPr>
      <w:r>
        <w:t xml:space="preserve">Koordinatora aprēķinātie tirgus sasaistes rezultāti vienmēr ir noteicošie, tiklīdz tos pieņēmis katrs operators (tostarp pats koordinators un koordinatora vietnieks). Tomēr katrai pusei, kas darbojas kā operators, ir tiesības pieņemt vai noraidīt tirgus sasaistes rezultātus saskaņā ar NETO NDDL darbības norādījumiem. Ja puse nekādi nereaģē, tiek uzskatīts, ka tā pieņem tirgus sasaistes rezultātus. Tirgus sasaistes rezultātus nedrīkst publicēt pirms procedūrās pieņemtā laika. Katram operatoram, koordinatoram un koordinatora vietniekam ir tiesības noraidīt tirgus sasaistes rezultātus un atsaistīties, ievērojot pieņemtās procedūras, bet šis risinājums izmantojams tikai kā galējs līdzeklis. </w:t>
      </w:r>
    </w:p>
    <w:p w14:paraId="221BB4F1" w14:textId="77777777" w:rsidR="002521F5" w:rsidRPr="00CB4A63" w:rsidRDefault="002521F5" w:rsidP="00384080">
      <w:pPr>
        <w:pStyle w:val="Sarakstarindkopa"/>
        <w:numPr>
          <w:ilvl w:val="0"/>
          <w:numId w:val="50"/>
        </w:numPr>
        <w:spacing w:after="120"/>
        <w:contextualSpacing w:val="0"/>
        <w:jc w:val="both"/>
      </w:pPr>
      <w:r>
        <w:t xml:space="preserve">Atsaiste, ievērojot pieņemtās procedūras, nav uzskatāma par pušu saistību neizpildi vai NETO NDDL līguma noteikumu neievērošanu. Šī atsaiste ir pieņemta rezerves procedūra, un no tās kā sekām neizriet nekāds atsaistes radīto zaudējumu atlīdzināšanas pienākums. </w:t>
      </w:r>
    </w:p>
    <w:p w14:paraId="1BF93614" w14:textId="77777777" w:rsidR="002521F5" w:rsidRPr="00CB4A63" w:rsidRDefault="002521F5" w:rsidP="00384080">
      <w:pPr>
        <w:pStyle w:val="Sarakstarindkopa"/>
        <w:numPr>
          <w:ilvl w:val="0"/>
          <w:numId w:val="50"/>
        </w:numPr>
        <w:spacing w:after="120"/>
        <w:contextualSpacing w:val="0"/>
        <w:jc w:val="both"/>
      </w:pPr>
      <w:r>
        <w:t>Neviena puse nevar nevienai trešajai pusei garantēt, ka NDS rezultātā tiks sasniegts noteikts rezultāts.</w:t>
      </w:r>
    </w:p>
    <w:p w14:paraId="429C5D68" w14:textId="77777777" w:rsidR="002521F5" w:rsidRPr="00CB4A63" w:rsidRDefault="002521F5" w:rsidP="00384080">
      <w:pPr>
        <w:pStyle w:val="Sarakstarindkopa"/>
        <w:numPr>
          <w:ilvl w:val="0"/>
          <w:numId w:val="50"/>
        </w:numPr>
        <w:spacing w:after="120"/>
        <w:contextualSpacing w:val="0"/>
        <w:jc w:val="both"/>
      </w:pPr>
      <w:r>
        <w:t>Ja radies starpgadījums, koordinators sazvanās ar koordinatora vietnieku un operatoriem, lai kopīgi pieņemtu lēmumu par starpgadījuma atrisināšanu saskaņā ar NETO NDDL darbības norādījumiem. Šie ārkārtas zvani ir jāieraksta.</w:t>
      </w:r>
    </w:p>
    <w:p w14:paraId="03B824D8" w14:textId="77777777" w:rsidR="002521F5" w:rsidRPr="00CB4A63" w:rsidRDefault="002521F5" w:rsidP="00384080">
      <w:pPr>
        <w:pStyle w:val="Sarakstarindkopa"/>
        <w:numPr>
          <w:ilvl w:val="0"/>
          <w:numId w:val="51"/>
        </w:numPr>
        <w:spacing w:after="120"/>
        <w:contextualSpacing w:val="0"/>
        <w:jc w:val="both"/>
      </w:pPr>
      <w:r>
        <w:t>Ja koordinators nerīkojas, viņa lomu pārņem koordinatora vietnieks. Puses var izlemt par puses atcelšanu no koordinatora/koordinatora vietnieka lomas.</w:t>
      </w:r>
    </w:p>
    <w:p w14:paraId="4A6A1F93" w14:textId="77777777" w:rsidR="002521F5" w:rsidRPr="00CB4A63" w:rsidRDefault="002521F5" w:rsidP="00384080">
      <w:pPr>
        <w:pStyle w:val="Sarakstarindkopa"/>
        <w:numPr>
          <w:ilvl w:val="0"/>
          <w:numId w:val="51"/>
        </w:numPr>
        <w:spacing w:after="120"/>
        <w:contextualSpacing w:val="0"/>
        <w:jc w:val="both"/>
      </w:pPr>
      <w:r>
        <w:t>Katra puse, kas tieši pilda operatora lomu, piedalās kā koordinators/koordinatora vietnieks vienādu skaitu dienu, veicot rotāciju, ja ir izpildīti NETO NDDL, kā arī koordinatora un koordinatora vietnieka darbības norādījumos paredzētie tehniskie nosacījumi.</w:t>
      </w:r>
    </w:p>
    <w:p w14:paraId="644A3194" w14:textId="77777777" w:rsidR="002521F5" w:rsidRPr="00CB4A63" w:rsidRDefault="002521F5" w:rsidP="00384080">
      <w:pPr>
        <w:pStyle w:val="Sarakstarindkopa"/>
        <w:numPr>
          <w:ilvl w:val="0"/>
          <w:numId w:val="51"/>
        </w:numPr>
        <w:spacing w:after="120"/>
        <w:contextualSpacing w:val="0"/>
        <w:jc w:val="both"/>
      </w:pPr>
      <w:r>
        <w:t>Puse, kas darbojas kā koordinators/koordinatora vietnieks, saņems atlīdzību par kopīgajām izmaksām.</w:t>
      </w:r>
    </w:p>
    <w:p w14:paraId="0D5CD92E" w14:textId="77777777" w:rsidR="002521F5" w:rsidRPr="00CB4A63" w:rsidRDefault="002521F5" w:rsidP="00384080">
      <w:pPr>
        <w:pStyle w:val="Sarakstarindkopa"/>
        <w:numPr>
          <w:ilvl w:val="0"/>
          <w:numId w:val="51"/>
        </w:numPr>
        <w:spacing w:after="120"/>
        <w:contextualSpacing w:val="0"/>
        <w:jc w:val="both"/>
      </w:pPr>
      <w:r>
        <w:t>NETO NDDL darbības norādījumi noteiks pilnos darbības procesus un procedūras.</w:t>
      </w:r>
    </w:p>
    <w:p w14:paraId="3E046818" w14:textId="77777777" w:rsidR="002521F5" w:rsidRPr="00CB4A63" w:rsidRDefault="002521F5" w:rsidP="002521F5">
      <w:pPr>
        <w:spacing w:after="120" w:line="240" w:lineRule="auto"/>
        <w:jc w:val="both"/>
        <w:rPr>
          <w:rFonts w:ascii="Verdana" w:eastAsia="Times New Roman" w:hAnsi="Verdana" w:cs="Times New Roman"/>
          <w:sz w:val="19"/>
          <w:szCs w:val="19"/>
        </w:rPr>
      </w:pPr>
    </w:p>
    <w:p w14:paraId="4A1A24E7" w14:textId="77777777" w:rsidR="002521F5" w:rsidRPr="00CB4A63" w:rsidRDefault="002521F5" w:rsidP="00384080">
      <w:pPr>
        <w:pStyle w:val="Sarakstarindkopa"/>
        <w:numPr>
          <w:ilvl w:val="0"/>
          <w:numId w:val="41"/>
        </w:numPr>
        <w:spacing w:before="240" w:after="120" w:line="240" w:lineRule="auto"/>
        <w:jc w:val="both"/>
        <w:rPr>
          <w:rFonts w:eastAsia="Times New Roman" w:cs="Times New Roman"/>
          <w:b/>
        </w:rPr>
      </w:pPr>
      <w:r>
        <w:rPr>
          <w:b/>
        </w:rPr>
        <w:t xml:space="preserve">Pievienošanās </w:t>
      </w:r>
    </w:p>
    <w:p w14:paraId="680696FE" w14:textId="77777777" w:rsidR="002521F5" w:rsidRPr="00CB4A63" w:rsidRDefault="002521F5" w:rsidP="002521F5">
      <w:pPr>
        <w:pStyle w:val="Sarakstarindkopa"/>
        <w:spacing w:before="360" w:after="120" w:line="240" w:lineRule="auto"/>
        <w:jc w:val="both"/>
        <w:rPr>
          <w:rFonts w:ascii="Verdana" w:eastAsia="Times New Roman" w:hAnsi="Verdana" w:cs="Times New Roman"/>
          <w:b/>
          <w:sz w:val="19"/>
          <w:szCs w:val="19"/>
        </w:rPr>
      </w:pPr>
    </w:p>
    <w:p w14:paraId="5FDB8FBF" w14:textId="77777777" w:rsidR="002521F5" w:rsidRPr="00CB4A63" w:rsidRDefault="002521F5" w:rsidP="00384080">
      <w:pPr>
        <w:pStyle w:val="Sarakstarindkopa"/>
        <w:numPr>
          <w:ilvl w:val="0"/>
          <w:numId w:val="48"/>
        </w:numPr>
        <w:spacing w:after="120"/>
        <w:contextualSpacing w:val="0"/>
        <w:jc w:val="both"/>
      </w:pPr>
      <w:r>
        <w:t>Uz NETO pievienošanos NETO NDDL attiecas:</w:t>
      </w:r>
    </w:p>
    <w:p w14:paraId="05268DCC" w14:textId="77777777" w:rsidR="002521F5" w:rsidRPr="00CB4A63" w:rsidRDefault="002521F5" w:rsidP="00384080">
      <w:pPr>
        <w:pStyle w:val="Sarakstarindkopa"/>
        <w:numPr>
          <w:ilvl w:val="0"/>
          <w:numId w:val="53"/>
        </w:numPr>
        <w:ind w:left="1418" w:hanging="567"/>
        <w:jc w:val="both"/>
      </w:pPr>
      <w:r>
        <w:t>rakstveida pierādījums par tā izvirzīšanu NETO lomai;</w:t>
      </w:r>
    </w:p>
    <w:p w14:paraId="331A84CE" w14:textId="77777777" w:rsidR="00745313" w:rsidRPr="00CB4A63" w:rsidRDefault="002521F5" w:rsidP="001A2CC5">
      <w:pPr>
        <w:pStyle w:val="Sarakstarindkopa"/>
        <w:numPr>
          <w:ilvl w:val="0"/>
          <w:numId w:val="53"/>
        </w:numPr>
        <w:ind w:left="1418" w:hanging="567"/>
        <w:jc w:val="both"/>
      </w:pPr>
      <w:r>
        <w:t>VNSL parakstīšana;</w:t>
      </w:r>
    </w:p>
    <w:p w14:paraId="1B65A76F" w14:textId="77777777" w:rsidR="00727007" w:rsidRPr="00CB4A63" w:rsidRDefault="00727007" w:rsidP="001A2CC5">
      <w:pPr>
        <w:pStyle w:val="Sarakstarindkopa"/>
        <w:numPr>
          <w:ilvl w:val="0"/>
          <w:numId w:val="53"/>
        </w:numPr>
        <w:ind w:left="1418" w:hanging="567"/>
        <w:jc w:val="both"/>
      </w:pPr>
      <w:r>
        <w:t xml:space="preserve">Līdzdalība atbilstoši CACM regulai un atbilstošajiem VPI lēmumiem. </w:t>
      </w:r>
    </w:p>
    <w:p w14:paraId="25D50393" w14:textId="008A3F32" w:rsidR="002521F5" w:rsidRPr="00CB4A63" w:rsidRDefault="002521F5" w:rsidP="00727007">
      <w:pPr>
        <w:jc w:val="both"/>
      </w:pPr>
      <w:r>
        <w:t>izmaksas, kas radušās citu pušu dēļ, pievienojoties/ģeogrāfiski paplašinot NDS, sedz tas NETO, kas pievienojas.</w:t>
      </w:r>
    </w:p>
    <w:p w14:paraId="77F6E55B" w14:textId="77777777" w:rsidR="002521F5" w:rsidRPr="00CB4A63" w:rsidRDefault="002521F5" w:rsidP="002521F5">
      <w:pPr>
        <w:pStyle w:val="Sarakstarindkopa"/>
        <w:spacing w:after="120"/>
        <w:ind w:left="360"/>
        <w:contextualSpacing w:val="0"/>
        <w:jc w:val="both"/>
      </w:pPr>
    </w:p>
    <w:p w14:paraId="55C9D4C9" w14:textId="77777777" w:rsidR="002521F5" w:rsidRPr="00CB4A63" w:rsidRDefault="002521F5" w:rsidP="00384080">
      <w:pPr>
        <w:pStyle w:val="Sarakstarindkopa"/>
        <w:numPr>
          <w:ilvl w:val="0"/>
          <w:numId w:val="41"/>
        </w:numPr>
        <w:spacing w:before="240" w:after="120" w:line="240" w:lineRule="auto"/>
        <w:jc w:val="both"/>
        <w:rPr>
          <w:rFonts w:eastAsia="Times New Roman" w:cs="Times New Roman"/>
          <w:b/>
        </w:rPr>
      </w:pPr>
      <w:r>
        <w:rPr>
          <w:b/>
        </w:rPr>
        <w:t>Konfidencialitāte un saziņa ar trešajām pusēm</w:t>
      </w:r>
    </w:p>
    <w:p w14:paraId="3AF4FF42" w14:textId="77777777" w:rsidR="002521F5" w:rsidRPr="00CB4A63" w:rsidRDefault="002521F5" w:rsidP="002521F5">
      <w:pPr>
        <w:pStyle w:val="Sarakstarindkopa"/>
        <w:spacing w:before="360" w:after="120" w:line="240" w:lineRule="auto"/>
        <w:jc w:val="both"/>
        <w:rPr>
          <w:rFonts w:ascii="Verdana" w:eastAsia="Times New Roman" w:hAnsi="Verdana" w:cs="Times New Roman"/>
          <w:b/>
          <w:sz w:val="19"/>
          <w:szCs w:val="19"/>
        </w:rPr>
      </w:pPr>
    </w:p>
    <w:p w14:paraId="63F15174" w14:textId="77777777" w:rsidR="002521F5" w:rsidRPr="00CB4A63" w:rsidRDefault="002521F5" w:rsidP="00384080">
      <w:pPr>
        <w:pStyle w:val="Sarakstarindkopa"/>
        <w:numPr>
          <w:ilvl w:val="0"/>
          <w:numId w:val="46"/>
        </w:numPr>
        <w:spacing w:after="120"/>
        <w:contextualSpacing w:val="0"/>
        <w:jc w:val="both"/>
      </w:pPr>
      <w:r>
        <w:t>Visa informācija, kas paziņota saskaņā ar šo līgumu (tostarp pušu tirgus dati) ir konfidenciāla, ja vien nav norādīts citādi. Tirgus dati, ko NETO snieguši TSO, tirgus cenas un saskaņotie pasūtījumi paliek ekskluzīvs informāciju sniegušā NETO īpašums (vai kā citādi noteikts saskaņā ar valsts tiesisko regulējumu).</w:t>
      </w:r>
    </w:p>
    <w:p w14:paraId="3BCEBE1C" w14:textId="77777777" w:rsidR="002521F5" w:rsidRPr="00CB4A63" w:rsidRDefault="002521F5" w:rsidP="00384080">
      <w:pPr>
        <w:pStyle w:val="Sarakstarindkopa"/>
        <w:numPr>
          <w:ilvl w:val="0"/>
          <w:numId w:val="46"/>
        </w:numPr>
        <w:spacing w:after="120"/>
        <w:contextualSpacing w:val="0"/>
        <w:jc w:val="both"/>
      </w:pPr>
      <w:r>
        <w:t>NETO nav tiesību piekļūt citu NETO tirgus datiem vai analizēt tos, izņemot tikai darbības vai snieguma pārvaldības vai izstrādes nolūkā, ja tas tiek veikts vadības komitejas ietvaros kā kopīgi kontrolēta procesa daļa.</w:t>
      </w:r>
    </w:p>
    <w:p w14:paraId="05601264" w14:textId="77777777" w:rsidR="002521F5" w:rsidRPr="00CB4A63" w:rsidRDefault="002521F5" w:rsidP="00384080">
      <w:pPr>
        <w:pStyle w:val="Sarakstarindkopa"/>
        <w:numPr>
          <w:ilvl w:val="0"/>
          <w:numId w:val="46"/>
        </w:numPr>
        <w:spacing w:after="120"/>
        <w:contextualSpacing w:val="0"/>
        <w:jc w:val="both"/>
      </w:pPr>
      <w:r>
        <w:t>NETO drīkst izmantot citu NETO tirgus datus simulāciju veikšanai savos tirgos, ja tas nekaitē konkurencei NETO starpā.  NETO drīkst publicēt savu simulāciju rezultātus saistībā ar cenām un neto pozīcijām savos tirgos.</w:t>
      </w:r>
    </w:p>
    <w:p w14:paraId="51AE2E1D" w14:textId="77777777" w:rsidR="002521F5" w:rsidRPr="00CB4A63" w:rsidRDefault="002521F5" w:rsidP="00384080">
      <w:pPr>
        <w:pStyle w:val="Sarakstarindkopa"/>
        <w:numPr>
          <w:ilvl w:val="0"/>
          <w:numId w:val="46"/>
        </w:numPr>
        <w:spacing w:after="120"/>
        <w:contextualSpacing w:val="0"/>
        <w:jc w:val="both"/>
      </w:pPr>
      <w:r>
        <w:t>Ievērojot konfidencialitāti, puses drīkst brīvi, savā vārdā rakstveidā vai mutvārdos izteikt savu nostāju vai viedokli par visiem ar NETO NDDL saistītajiem jautājumiem, ja tie nekaitē vai negatīvi neietekmē citu pušu kopīgās un/vai individuālās intereses vai reputāciju.</w:t>
      </w:r>
    </w:p>
    <w:p w14:paraId="222BF9AF" w14:textId="77777777" w:rsidR="002521F5" w:rsidRPr="00CB4A63" w:rsidRDefault="002521F5" w:rsidP="00384080">
      <w:pPr>
        <w:pStyle w:val="Sarakstarindkopa"/>
        <w:numPr>
          <w:ilvl w:val="0"/>
          <w:numId w:val="46"/>
        </w:numPr>
        <w:spacing w:after="120"/>
        <w:contextualSpacing w:val="0"/>
        <w:jc w:val="both"/>
      </w:pPr>
      <w:r>
        <w:t>Par ziņošanu pēc starpgadījuma kopīgi vienojas koordinētā saskaņošanā, tomēr katra puse atbild par savu pasūtījumu reģistru, tāpēc tā var pēc saviem ieskatiem ziņot saviem klientiem, ja šī ziņošana nekaitē kopīgi pieņemtajai nostājai un tiek veikta, pēc iespējas ievērojot kopīgi pieņemtos ziņošanas principus.</w:t>
      </w:r>
    </w:p>
    <w:p w14:paraId="56066CFE" w14:textId="77777777" w:rsidR="002521F5" w:rsidRPr="00CB4A63" w:rsidRDefault="002521F5" w:rsidP="00384080">
      <w:pPr>
        <w:pStyle w:val="Sarakstarindkopa"/>
        <w:numPr>
          <w:ilvl w:val="0"/>
          <w:numId w:val="41"/>
        </w:numPr>
        <w:spacing w:before="240" w:after="120" w:line="240" w:lineRule="auto"/>
        <w:jc w:val="both"/>
        <w:rPr>
          <w:rFonts w:eastAsia="Times New Roman" w:cs="Times New Roman"/>
          <w:b/>
        </w:rPr>
      </w:pPr>
      <w:r>
        <w:rPr>
          <w:b/>
        </w:rPr>
        <w:t xml:space="preserve">Atbildība </w:t>
      </w:r>
    </w:p>
    <w:p w14:paraId="4F902450" w14:textId="77777777" w:rsidR="002521F5" w:rsidRPr="00CB4A63" w:rsidRDefault="002521F5" w:rsidP="002521F5">
      <w:pPr>
        <w:pStyle w:val="Sarakstarindkopa"/>
        <w:spacing w:before="360" w:after="120" w:line="240" w:lineRule="auto"/>
        <w:jc w:val="both"/>
        <w:rPr>
          <w:rFonts w:ascii="Verdana" w:eastAsia="Times New Roman" w:hAnsi="Verdana" w:cs="Times New Roman"/>
          <w:b/>
          <w:sz w:val="19"/>
          <w:szCs w:val="19"/>
        </w:rPr>
      </w:pPr>
    </w:p>
    <w:p w14:paraId="67CDFB4F" w14:textId="77777777" w:rsidR="002521F5" w:rsidRPr="00CB4A63" w:rsidRDefault="002521F5" w:rsidP="00384080">
      <w:pPr>
        <w:pStyle w:val="Sarakstarindkopa"/>
        <w:numPr>
          <w:ilvl w:val="0"/>
          <w:numId w:val="45"/>
        </w:numPr>
        <w:spacing w:after="120"/>
        <w:contextualSpacing w:val="0"/>
        <w:jc w:val="both"/>
      </w:pPr>
      <w:r>
        <w:t>Tā kā koordinatoram, koordinatora vietniekam un operatoram(-iem) (i) vienlaicīgi ir piekļuve nepieciešamajai informācijai, lai novērtētu vienotas ND sasaistes TSO funkcijas izpildes atbilstību, un ir iespēja iesaistīties, lai nodrošinātu šo darbību atbilstošu izpildi; (ii) ir iespējams reāllaikā palaist vai pārbaudīt saskaņošanas algoritmu, veicot replicēšanu reāllaikā; (iii) ir tiesības atsaistīties un/vai atsaistīt apkalpotos NETO, visi funkcionējošie NETO atsakās no visām tiesībām un tiesiskās aizsardzības līdzekļiem viens pret otru saistībā ar finansiālu kompensāciju par zaudējumiem, kas radušies nelikumīgas darbības vai bezdarbības dēļ, veicot koordinatora, koordinatora vietnieka vai operatora pienākumus.</w:t>
      </w:r>
    </w:p>
    <w:p w14:paraId="642EF544" w14:textId="77777777" w:rsidR="002521F5" w:rsidRPr="00CB4A63" w:rsidRDefault="002521F5" w:rsidP="00384080">
      <w:pPr>
        <w:pStyle w:val="Sarakstarindkopa"/>
        <w:numPr>
          <w:ilvl w:val="0"/>
          <w:numId w:val="45"/>
        </w:numPr>
        <w:spacing w:after="120"/>
        <w:contextualSpacing w:val="0"/>
        <w:jc w:val="both"/>
      </w:pPr>
      <w:r>
        <w:t>Maksimumu vispārējai atbildībai saskaņā ar šo līgumu, tostarp atbrīvošanai no atbildības, attiecībā uz visiem zaudējumiem ar noteiktiem izņēmumiem nosaka katru kalendāro gadu.</w:t>
      </w:r>
    </w:p>
    <w:p w14:paraId="78841D4C" w14:textId="77777777" w:rsidR="002521F5" w:rsidRPr="00CB4A63" w:rsidRDefault="002521F5" w:rsidP="00384080">
      <w:pPr>
        <w:pStyle w:val="Sarakstarindkopa"/>
        <w:numPr>
          <w:ilvl w:val="0"/>
          <w:numId w:val="45"/>
        </w:numPr>
        <w:spacing w:after="120"/>
        <w:contextualSpacing w:val="0"/>
        <w:jc w:val="both"/>
      </w:pPr>
      <w:r>
        <w:t>Nav kopējas un individuālas atbildības.</w:t>
      </w:r>
    </w:p>
    <w:p w14:paraId="7F64E684" w14:textId="77777777" w:rsidR="002521F5" w:rsidRPr="00CB4A63" w:rsidRDefault="002521F5" w:rsidP="00384080">
      <w:pPr>
        <w:pStyle w:val="Sarakstarindkopa"/>
        <w:numPr>
          <w:ilvl w:val="0"/>
          <w:numId w:val="50"/>
        </w:numPr>
        <w:spacing w:after="120"/>
        <w:contextualSpacing w:val="0"/>
        <w:jc w:val="both"/>
      </w:pPr>
      <w:r>
        <w:lastRenderedPageBreak/>
        <w:t>Atteikšanās no tiesībām pieprasīt finansiālu kompensāciju par zaudējumiem saistībā ar tirgus sasaistes rezultātu apkopošanu, piemēram, bet ne tikai, zaudējumiem, kas izriet no:</w:t>
      </w:r>
    </w:p>
    <w:p w14:paraId="5CEC442C" w14:textId="77777777" w:rsidR="002521F5" w:rsidRPr="00CB4A63" w:rsidRDefault="002521F5" w:rsidP="00384080">
      <w:pPr>
        <w:pStyle w:val="Sarakstarindkopa"/>
        <w:numPr>
          <w:ilvl w:val="0"/>
          <w:numId w:val="53"/>
        </w:numPr>
        <w:ind w:left="1418" w:hanging="567"/>
        <w:jc w:val="both"/>
      </w:pPr>
      <w:r>
        <w:t>nelikumīgas darbības vai bezdarbības, veicot koordinatora, koordinatora vietnieka vai operatora pienākumus;</w:t>
      </w:r>
    </w:p>
    <w:p w14:paraId="6F002D50" w14:textId="6CEA7274" w:rsidR="002521F5" w:rsidRPr="00CB4A63" w:rsidRDefault="002521F5" w:rsidP="00384080">
      <w:pPr>
        <w:pStyle w:val="Sarakstarindkopa"/>
        <w:numPr>
          <w:ilvl w:val="0"/>
          <w:numId w:val="53"/>
        </w:numPr>
        <w:ind w:left="1418" w:hanging="567"/>
        <w:jc w:val="both"/>
      </w:pPr>
      <w:r>
        <w:t>jebkuras ND TSO funkcijas līdzekļu kļūdas vai darbības traucējumiem;</w:t>
      </w:r>
    </w:p>
    <w:p w14:paraId="74D75464" w14:textId="77777777" w:rsidR="002521F5" w:rsidRPr="00CB4A63" w:rsidRDefault="002521F5" w:rsidP="00384080">
      <w:pPr>
        <w:pStyle w:val="Sarakstarindkopa"/>
        <w:numPr>
          <w:ilvl w:val="0"/>
          <w:numId w:val="53"/>
        </w:numPr>
        <w:ind w:left="1418" w:hanging="567"/>
        <w:jc w:val="both"/>
      </w:pPr>
      <w:r>
        <w:t>tirgus sasaistes rezultātu trūkuma;</w:t>
      </w:r>
    </w:p>
    <w:p w14:paraId="03CD63C3" w14:textId="77777777" w:rsidR="002521F5" w:rsidRPr="00CB4A63" w:rsidRDefault="002521F5" w:rsidP="00384080">
      <w:pPr>
        <w:pStyle w:val="Sarakstarindkopa"/>
        <w:numPr>
          <w:ilvl w:val="0"/>
          <w:numId w:val="53"/>
        </w:numPr>
        <w:ind w:left="1418" w:hanging="567"/>
        <w:jc w:val="both"/>
      </w:pPr>
      <w:r>
        <w:t>atsaistes;</w:t>
      </w:r>
    </w:p>
    <w:p w14:paraId="7978E4D0" w14:textId="77777777" w:rsidR="002521F5" w:rsidRPr="00CB4A63" w:rsidRDefault="002521F5" w:rsidP="00384080">
      <w:pPr>
        <w:pStyle w:val="Sarakstarindkopa"/>
        <w:numPr>
          <w:ilvl w:val="0"/>
          <w:numId w:val="53"/>
        </w:numPr>
        <w:ind w:left="1418" w:hanging="567"/>
        <w:jc w:val="both"/>
      </w:pPr>
      <w:r>
        <w:t>jebkura starpgadījumu komitejā pieņemtā lēmuma.</w:t>
      </w:r>
    </w:p>
    <w:p w14:paraId="2DEEE983" w14:textId="77777777" w:rsidR="002521F5" w:rsidRPr="00CB4A63" w:rsidRDefault="002521F5" w:rsidP="002521F5">
      <w:pPr>
        <w:pStyle w:val="Sarakstarindkopa"/>
        <w:spacing w:after="120"/>
        <w:ind w:left="360"/>
        <w:contextualSpacing w:val="0"/>
        <w:jc w:val="both"/>
      </w:pPr>
    </w:p>
    <w:p w14:paraId="41811A6F" w14:textId="77777777" w:rsidR="002521F5" w:rsidRPr="00CB4A63" w:rsidRDefault="002521F5" w:rsidP="00384080">
      <w:pPr>
        <w:pStyle w:val="Sarakstarindkopa"/>
        <w:numPr>
          <w:ilvl w:val="0"/>
          <w:numId w:val="41"/>
        </w:numPr>
        <w:spacing w:before="240" w:after="120" w:line="240" w:lineRule="auto"/>
        <w:jc w:val="both"/>
        <w:rPr>
          <w:rFonts w:eastAsia="Times New Roman" w:cs="Times New Roman"/>
          <w:b/>
        </w:rPr>
      </w:pPr>
      <w:r>
        <w:rPr>
          <w:b/>
        </w:rPr>
        <w:t xml:space="preserve">Stāšanās spēkā, termiņš un izbeigšana </w:t>
      </w:r>
    </w:p>
    <w:p w14:paraId="10DFF7FB" w14:textId="77777777" w:rsidR="002521F5" w:rsidRPr="00CB4A63" w:rsidRDefault="002521F5" w:rsidP="002521F5">
      <w:pPr>
        <w:pStyle w:val="Sarakstarindkopa"/>
        <w:spacing w:before="360" w:after="120" w:line="240" w:lineRule="auto"/>
        <w:jc w:val="both"/>
        <w:rPr>
          <w:rFonts w:eastAsia="Times New Roman" w:cs="Times New Roman"/>
          <w:b/>
        </w:rPr>
      </w:pPr>
    </w:p>
    <w:p w14:paraId="7B3921FC" w14:textId="77777777" w:rsidR="002521F5" w:rsidRPr="00CB4A63" w:rsidRDefault="002521F5" w:rsidP="00384080">
      <w:pPr>
        <w:pStyle w:val="Sarakstarindkopa"/>
        <w:numPr>
          <w:ilvl w:val="0"/>
          <w:numId w:val="44"/>
        </w:numPr>
        <w:spacing w:after="120"/>
        <w:contextualSpacing w:val="0"/>
        <w:jc w:val="both"/>
      </w:pPr>
      <w:r>
        <w:t>Līgums stājas spēkā, kad to uz nenoteiktu laiku parakstījušas visas puses.</w:t>
      </w:r>
    </w:p>
    <w:p w14:paraId="59D9BD87" w14:textId="77777777" w:rsidR="002521F5" w:rsidRPr="00CB4A63" w:rsidRDefault="002521F5" w:rsidP="00384080">
      <w:pPr>
        <w:pStyle w:val="Sarakstarindkopa"/>
        <w:numPr>
          <w:ilvl w:val="0"/>
          <w:numId w:val="44"/>
        </w:numPr>
        <w:spacing w:after="120"/>
        <w:contextualSpacing w:val="0"/>
        <w:jc w:val="both"/>
      </w:pPr>
      <w:r>
        <w:t>Pilnīga līguma izbeigšana ir iespējama, tikai savstarpēji vienojoties.</w:t>
      </w:r>
    </w:p>
    <w:p w14:paraId="1148BCFC" w14:textId="77777777" w:rsidR="002521F5" w:rsidRPr="00CB4A63" w:rsidRDefault="002521F5" w:rsidP="00384080">
      <w:pPr>
        <w:pStyle w:val="Sarakstarindkopa"/>
        <w:numPr>
          <w:ilvl w:val="0"/>
          <w:numId w:val="44"/>
        </w:numPr>
        <w:spacing w:after="120"/>
        <w:contextualSpacing w:val="0"/>
        <w:jc w:val="both"/>
      </w:pPr>
      <w:r>
        <w:t>Puse var izbeigt līgumu šādos apstākļos:</w:t>
      </w:r>
    </w:p>
    <w:p w14:paraId="2E86DA54" w14:textId="77777777" w:rsidR="002521F5" w:rsidRPr="00CB4A63" w:rsidRDefault="002521F5" w:rsidP="00384080">
      <w:pPr>
        <w:pStyle w:val="Sarakstarindkopa"/>
        <w:numPr>
          <w:ilvl w:val="0"/>
          <w:numId w:val="53"/>
        </w:numPr>
        <w:ind w:left="1418" w:hanging="567"/>
        <w:jc w:val="both"/>
      </w:pPr>
      <w:r>
        <w:rPr>
          <w:rFonts w:ascii="Calibri" w:hAnsi="Calibri"/>
        </w:rPr>
        <w:t>brīdinot par to 12 mēnešus iepriekš, bez pienākuma norādīt jebkādu pamatojumu</w:t>
      </w:r>
      <w:r>
        <w:t>;</w:t>
      </w:r>
    </w:p>
    <w:p w14:paraId="067286A3" w14:textId="77777777" w:rsidR="002521F5" w:rsidRPr="00CB4A63" w:rsidRDefault="002521F5" w:rsidP="00384080">
      <w:pPr>
        <w:pStyle w:val="Sarakstarindkopa"/>
        <w:numPr>
          <w:ilvl w:val="0"/>
          <w:numId w:val="53"/>
        </w:numPr>
        <w:ind w:left="1418" w:hanging="567"/>
        <w:jc w:val="both"/>
      </w:pPr>
      <w:r>
        <w:rPr>
          <w:rFonts w:ascii="Calibri" w:hAnsi="Calibri"/>
        </w:rPr>
        <w:t xml:space="preserve">brīdinot par to 6 mēnešus iepriekš, ja neizdodas panākt vienošanos, pamatojot izmaiņas </w:t>
      </w:r>
      <w:r>
        <w:t>ar reglamentējošiem iemesliem.</w:t>
      </w:r>
    </w:p>
    <w:p w14:paraId="72A3BE94" w14:textId="77777777" w:rsidR="002521F5" w:rsidRPr="00CB4A63" w:rsidRDefault="002521F5" w:rsidP="00384080">
      <w:pPr>
        <w:pStyle w:val="Sarakstarindkopa"/>
        <w:numPr>
          <w:ilvl w:val="0"/>
          <w:numId w:val="44"/>
        </w:numPr>
        <w:spacing w:after="120"/>
        <w:contextualSpacing w:val="0"/>
        <w:jc w:val="both"/>
      </w:pPr>
      <w:r>
        <w:t>Puses var izbeigt šo līgumu ar kādu pusi:</w:t>
      </w:r>
    </w:p>
    <w:p w14:paraId="0ED329C8" w14:textId="5819DDCC" w:rsidR="002521F5" w:rsidRPr="00CB4A63" w:rsidRDefault="002521F5" w:rsidP="00384080">
      <w:pPr>
        <w:pStyle w:val="Sarakstarindkopa"/>
        <w:numPr>
          <w:ilvl w:val="0"/>
          <w:numId w:val="53"/>
        </w:numPr>
        <w:ind w:left="1418" w:hanging="567"/>
        <w:jc w:val="both"/>
      </w:pPr>
      <w:r>
        <w:t>bankrota, būtisku šī līguma pārkāpuma un izrietošās noteikumu neievērošanas, uzņēmējdarbības izbeigšanas u. c. gadījumā;</w:t>
      </w:r>
    </w:p>
    <w:p w14:paraId="55F6946E" w14:textId="77777777" w:rsidR="002521F5" w:rsidRPr="00CB4A63" w:rsidRDefault="002521F5" w:rsidP="00384080">
      <w:pPr>
        <w:pStyle w:val="Sarakstarindkopa"/>
        <w:numPr>
          <w:ilvl w:val="0"/>
          <w:numId w:val="53"/>
        </w:numPr>
        <w:ind w:left="1418" w:hanging="567"/>
        <w:jc w:val="both"/>
      </w:pPr>
      <w:r>
        <w:t>ja puse vairs nav nākamās dienas tirgum izvirzīts NETO.</w:t>
      </w:r>
    </w:p>
    <w:p w14:paraId="6FA91155" w14:textId="77777777" w:rsidR="002521F5" w:rsidRPr="00CB4A63" w:rsidRDefault="002521F5" w:rsidP="00384080">
      <w:pPr>
        <w:pStyle w:val="Sarakstarindkopa"/>
        <w:numPr>
          <w:ilvl w:val="0"/>
          <w:numId w:val="43"/>
        </w:numPr>
        <w:spacing w:after="120"/>
        <w:contextualSpacing w:val="0"/>
        <w:jc w:val="both"/>
      </w:pPr>
      <w:r>
        <w:t>Līgumu izbeigušajai pusei jādara viss iespējamais, lai mazinātu izbeigšanas radītos zaudējumus, jāpalīdz un jāsadarbojas pasākumos nepārtrauktības nodrošināšanai palikušajām pusēm.</w:t>
      </w:r>
    </w:p>
    <w:p w14:paraId="6D846A42" w14:textId="77777777" w:rsidR="002521F5" w:rsidRPr="00CB4A63" w:rsidRDefault="002521F5" w:rsidP="00384080">
      <w:pPr>
        <w:pStyle w:val="Sarakstarindkopa"/>
        <w:numPr>
          <w:ilvl w:val="0"/>
          <w:numId w:val="41"/>
        </w:numPr>
        <w:spacing w:before="240" w:after="120" w:line="240" w:lineRule="auto"/>
        <w:jc w:val="both"/>
        <w:rPr>
          <w:rFonts w:eastAsia="Times New Roman" w:cs="Times New Roman"/>
          <w:b/>
        </w:rPr>
      </w:pPr>
      <w:r>
        <w:rPr>
          <w:b/>
        </w:rPr>
        <w:t>Reglamentējošie tiesību akti un strīdu izšķiršana</w:t>
      </w:r>
    </w:p>
    <w:p w14:paraId="0BED5D91" w14:textId="77777777" w:rsidR="002521F5" w:rsidRPr="00CB4A63" w:rsidRDefault="002521F5" w:rsidP="002521F5">
      <w:pPr>
        <w:pStyle w:val="Sarakstarindkopa"/>
        <w:spacing w:before="360" w:after="120" w:line="240" w:lineRule="auto"/>
        <w:jc w:val="both"/>
        <w:rPr>
          <w:rFonts w:eastAsia="Times New Roman" w:cs="Times New Roman"/>
          <w:b/>
        </w:rPr>
      </w:pPr>
    </w:p>
    <w:p w14:paraId="2C2B3342" w14:textId="77777777" w:rsidR="002521F5" w:rsidRPr="00CB4A63" w:rsidRDefault="002521F5" w:rsidP="00384080">
      <w:pPr>
        <w:pStyle w:val="Sarakstarindkopa"/>
        <w:numPr>
          <w:ilvl w:val="0"/>
          <w:numId w:val="42"/>
        </w:numPr>
        <w:spacing w:after="120"/>
        <w:contextualSpacing w:val="0"/>
        <w:jc w:val="both"/>
      </w:pPr>
      <w:r>
        <w:t>Reglamentējošie tiesību akti: Beļģijas tiesību akti</w:t>
      </w:r>
    </w:p>
    <w:p w14:paraId="105A2B91" w14:textId="77777777" w:rsidR="002521F5" w:rsidRPr="00CB4A63" w:rsidRDefault="002521F5" w:rsidP="00384080">
      <w:pPr>
        <w:pStyle w:val="Sarakstarindkopa"/>
        <w:numPr>
          <w:ilvl w:val="0"/>
          <w:numId w:val="42"/>
        </w:numPr>
        <w:spacing w:after="120"/>
        <w:contextualSpacing w:val="0"/>
        <w:jc w:val="both"/>
      </w:pPr>
      <w:r>
        <w:t>Izlīgums vadītāju starpā (1 mēneša laikā).</w:t>
      </w:r>
    </w:p>
    <w:p w14:paraId="6E46232E" w14:textId="77777777" w:rsidR="002521F5" w:rsidRPr="00CB4A63" w:rsidRDefault="002521F5" w:rsidP="00384080">
      <w:pPr>
        <w:pStyle w:val="Sarakstarindkopa"/>
        <w:numPr>
          <w:ilvl w:val="0"/>
          <w:numId w:val="42"/>
        </w:numPr>
        <w:spacing w:after="120"/>
        <w:contextualSpacing w:val="0"/>
        <w:jc w:val="both"/>
      </w:pPr>
      <w:r>
        <w:t>Ja jautājums ietilpst visu NETO komitejas kompetences jomā, to var pāradresēt visu NETO komitejai.</w:t>
      </w:r>
    </w:p>
    <w:p w14:paraId="13C07CD2" w14:textId="77777777" w:rsidR="002521F5" w:rsidRPr="00CB4A63" w:rsidRDefault="002521F5" w:rsidP="00384080">
      <w:pPr>
        <w:pStyle w:val="Sarakstarindkopa"/>
        <w:numPr>
          <w:ilvl w:val="0"/>
          <w:numId w:val="42"/>
        </w:numPr>
        <w:spacing w:after="120"/>
        <w:contextualSpacing w:val="0"/>
        <w:jc w:val="both"/>
      </w:pPr>
      <w:r>
        <w:t xml:space="preserve">Citos gadījumos: </w:t>
      </w:r>
    </w:p>
    <w:p w14:paraId="5A814759" w14:textId="77777777" w:rsidR="002521F5" w:rsidRPr="00CB4A63" w:rsidRDefault="002521F5" w:rsidP="00384080">
      <w:pPr>
        <w:pStyle w:val="Sarakstarindkopa"/>
        <w:numPr>
          <w:ilvl w:val="0"/>
          <w:numId w:val="53"/>
        </w:numPr>
        <w:ind w:left="1418" w:hanging="567"/>
        <w:jc w:val="both"/>
      </w:pPr>
      <w:r>
        <w:t xml:space="preserve">pušu izlīgums; </w:t>
      </w:r>
    </w:p>
    <w:p w14:paraId="2C9B10FA" w14:textId="77777777" w:rsidR="002521F5" w:rsidRPr="00CB4A63" w:rsidRDefault="002521F5" w:rsidP="00384080">
      <w:pPr>
        <w:pStyle w:val="Sarakstarindkopa"/>
        <w:numPr>
          <w:ilvl w:val="0"/>
          <w:numId w:val="53"/>
        </w:numPr>
        <w:ind w:left="1418" w:hanging="567"/>
        <w:jc w:val="both"/>
      </w:pPr>
      <w:r>
        <w:t>nesaistošs ESA viedoklis;</w:t>
      </w:r>
    </w:p>
    <w:p w14:paraId="53E71306" w14:textId="77777777" w:rsidR="002521F5" w:rsidRPr="00CB4A63" w:rsidRDefault="002521F5" w:rsidP="00384080">
      <w:pPr>
        <w:pStyle w:val="Sarakstarindkopa"/>
        <w:numPr>
          <w:ilvl w:val="0"/>
          <w:numId w:val="53"/>
        </w:numPr>
        <w:ind w:left="1418" w:hanging="567"/>
        <w:jc w:val="both"/>
      </w:pPr>
      <w:r>
        <w:t>starpniecība;</w:t>
      </w:r>
    </w:p>
    <w:p w14:paraId="62D19C9A" w14:textId="3EF5614F" w:rsidR="002521F5" w:rsidRDefault="002521F5" w:rsidP="00384080">
      <w:pPr>
        <w:pStyle w:val="Sarakstarindkopa"/>
        <w:numPr>
          <w:ilvl w:val="0"/>
          <w:numId w:val="53"/>
        </w:numPr>
        <w:ind w:left="1418" w:hanging="567"/>
        <w:jc w:val="both"/>
      </w:pPr>
      <w:r>
        <w:t>izskatīšana šķīrējtiesā saskaņā ar Starptautisko Tirdzniecības palātu.</w:t>
      </w:r>
    </w:p>
    <w:p w14:paraId="66A2E5E5" w14:textId="24B87709" w:rsidR="00B06A4A" w:rsidRDefault="00B06A4A">
      <w:pPr>
        <w:spacing w:after="160" w:line="259" w:lineRule="auto"/>
      </w:pPr>
      <w:r>
        <w:br w:type="page"/>
      </w:r>
    </w:p>
    <w:p w14:paraId="697BBC7D" w14:textId="77777777" w:rsidR="00CD1EDA" w:rsidRPr="00CB4A63" w:rsidRDefault="00CD1EDA" w:rsidP="0055309C">
      <w:pPr>
        <w:pStyle w:val="Virsraksts2"/>
        <w:ind w:left="567"/>
        <w:rPr>
          <w:rFonts w:eastAsia="Times New Roman"/>
        </w:rPr>
      </w:pPr>
      <w:bookmarkStart w:id="158" w:name="_Toc479786239"/>
      <w:bookmarkStart w:id="159" w:name="_Toc484770718"/>
      <w:r>
        <w:lastRenderedPageBreak/>
        <w:t xml:space="preserve">Kopsavilkums līgumam ar ND TSO funkcijas pakalpojumu nodrošinātāju </w:t>
      </w:r>
      <w:r>
        <w:rPr>
          <w:rFonts w:ascii="Calibri" w:hAnsi="Calibri"/>
          <w:color w:val="5B9BD4"/>
        </w:rPr>
        <w:t xml:space="preserve">– </w:t>
      </w:r>
      <w:r>
        <w:t>CKS pakalpojumu nodrošinātāju</w:t>
      </w:r>
      <w:bookmarkEnd w:id="158"/>
      <w:bookmarkEnd w:id="159"/>
    </w:p>
    <w:p w14:paraId="4AFAECA3" w14:textId="77777777" w:rsidR="002521F5" w:rsidRPr="00CB4A63" w:rsidRDefault="002521F5" w:rsidP="00B55F18">
      <w:pPr>
        <w:spacing w:after="160" w:line="259" w:lineRule="auto"/>
        <w:jc w:val="center"/>
      </w:pPr>
    </w:p>
    <w:tbl>
      <w:tblPr>
        <w:tblStyle w:val="Reatabula"/>
        <w:tblW w:w="9606" w:type="dxa"/>
        <w:tblLook w:val="04A0" w:firstRow="1" w:lastRow="0" w:firstColumn="1" w:lastColumn="0" w:noHBand="0" w:noVBand="1"/>
      </w:tblPr>
      <w:tblGrid>
        <w:gridCol w:w="3070"/>
        <w:gridCol w:w="6536"/>
      </w:tblGrid>
      <w:tr w:rsidR="00CD1EDA" w:rsidRPr="00CB4A63" w14:paraId="7F46D408" w14:textId="77777777" w:rsidTr="000B5E7A">
        <w:tc>
          <w:tcPr>
            <w:tcW w:w="9606" w:type="dxa"/>
            <w:gridSpan w:val="2"/>
            <w:shd w:val="clear" w:color="auto" w:fill="538135" w:themeFill="accent6" w:themeFillShade="BF"/>
          </w:tcPr>
          <w:p w14:paraId="17551244" w14:textId="77777777" w:rsidR="00CD1EDA" w:rsidRPr="00CB4A63" w:rsidRDefault="00CD1EDA" w:rsidP="00CD1EDA">
            <w:pPr>
              <w:spacing w:after="0" w:line="240" w:lineRule="auto"/>
              <w:jc w:val="center"/>
              <w:rPr>
                <w:rFonts w:ascii="Arial" w:eastAsia="Calibri" w:hAnsi="Arial" w:cs="Arial"/>
                <w:b/>
                <w:color w:val="FFFFFF"/>
              </w:rPr>
            </w:pPr>
          </w:p>
          <w:p w14:paraId="35AA8781" w14:textId="77777777" w:rsidR="00CD1EDA" w:rsidRPr="00CB4A63" w:rsidRDefault="00CD1EDA" w:rsidP="00CD1EDA">
            <w:pPr>
              <w:spacing w:after="0" w:line="240" w:lineRule="auto"/>
              <w:jc w:val="center"/>
              <w:rPr>
                <w:rFonts w:ascii="Arial" w:eastAsia="Calibri" w:hAnsi="Arial" w:cs="Arial"/>
                <w:b/>
                <w:color w:val="FFFFFF"/>
              </w:rPr>
            </w:pPr>
            <w:r>
              <w:rPr>
                <w:rFonts w:ascii="Arial" w:hAnsi="Arial"/>
                <w:b/>
                <w:color w:val="FFFFFF"/>
              </w:rPr>
              <w:t xml:space="preserve">Līguma noteikumi </w:t>
            </w:r>
          </w:p>
          <w:p w14:paraId="6A1D40AB" w14:textId="77777777" w:rsidR="00CD1EDA" w:rsidRPr="00CB4A63" w:rsidRDefault="00CD1EDA" w:rsidP="00CD1EDA">
            <w:pPr>
              <w:spacing w:after="0" w:line="240" w:lineRule="auto"/>
              <w:jc w:val="center"/>
              <w:rPr>
                <w:rFonts w:ascii="Arial" w:eastAsia="Calibri" w:hAnsi="Arial" w:cs="Arial"/>
                <w:b/>
                <w:color w:val="FFFFFF"/>
              </w:rPr>
            </w:pPr>
          </w:p>
        </w:tc>
      </w:tr>
      <w:tr w:rsidR="00CD1EDA" w:rsidRPr="00CB4A63" w14:paraId="5E4F24F6" w14:textId="77777777" w:rsidTr="000B5E7A">
        <w:tc>
          <w:tcPr>
            <w:tcW w:w="3070" w:type="dxa"/>
          </w:tcPr>
          <w:p w14:paraId="1FD4901F" w14:textId="77777777" w:rsidR="00CD1EDA" w:rsidRPr="00CB4A63" w:rsidRDefault="00CD1EDA" w:rsidP="00CD1EDA">
            <w:pPr>
              <w:spacing w:after="0" w:line="240" w:lineRule="auto"/>
              <w:jc w:val="center"/>
              <w:rPr>
                <w:rFonts w:ascii="Arial" w:eastAsia="Calibri" w:hAnsi="Arial" w:cs="Arial"/>
                <w:b/>
              </w:rPr>
            </w:pPr>
          </w:p>
          <w:p w14:paraId="568BF020" w14:textId="77777777" w:rsidR="00C12C03" w:rsidRPr="00CB4A63" w:rsidRDefault="00C12C03" w:rsidP="00CD1EDA">
            <w:pPr>
              <w:spacing w:after="0" w:line="240" w:lineRule="auto"/>
              <w:jc w:val="center"/>
              <w:rPr>
                <w:rFonts w:ascii="Arial" w:eastAsia="Calibri" w:hAnsi="Arial" w:cs="Arial"/>
                <w:b/>
              </w:rPr>
            </w:pPr>
          </w:p>
          <w:p w14:paraId="38A9B8C6" w14:textId="3D71EC88" w:rsidR="00CD1EDA" w:rsidRPr="00CB4A63" w:rsidRDefault="00CD1EDA" w:rsidP="00CD1EDA">
            <w:pPr>
              <w:spacing w:after="0" w:line="240" w:lineRule="auto"/>
              <w:jc w:val="center"/>
              <w:rPr>
                <w:rFonts w:ascii="Arial" w:eastAsia="Calibri" w:hAnsi="Arial" w:cs="Arial"/>
                <w:b/>
              </w:rPr>
            </w:pPr>
            <w:r>
              <w:rPr>
                <w:rFonts w:ascii="Arial" w:hAnsi="Arial"/>
                <w:b/>
              </w:rPr>
              <w:t>Priekšmets</w:t>
            </w:r>
          </w:p>
        </w:tc>
        <w:tc>
          <w:tcPr>
            <w:tcW w:w="6536" w:type="dxa"/>
          </w:tcPr>
          <w:p w14:paraId="622250A8" w14:textId="77777777" w:rsidR="00CD1EDA" w:rsidRPr="00CB4A63" w:rsidRDefault="00CD1EDA" w:rsidP="00CD1EDA">
            <w:pPr>
              <w:spacing w:after="0" w:line="240" w:lineRule="auto"/>
              <w:jc w:val="both"/>
              <w:rPr>
                <w:rFonts w:ascii="Arial" w:eastAsia="Calibri" w:hAnsi="Arial" w:cs="Arial"/>
                <w:i/>
              </w:rPr>
            </w:pPr>
          </w:p>
          <w:p w14:paraId="597D16DE" w14:textId="77777777" w:rsidR="00CD1EDA" w:rsidRPr="00CB4A63" w:rsidRDefault="00CD1EDA" w:rsidP="00CD1EDA">
            <w:pPr>
              <w:spacing w:after="0" w:line="240" w:lineRule="auto"/>
              <w:contextualSpacing/>
              <w:jc w:val="both"/>
              <w:rPr>
                <w:rFonts w:ascii="Arial" w:eastAsia="Calibri" w:hAnsi="Arial" w:cs="Arial"/>
                <w:i/>
              </w:rPr>
            </w:pPr>
            <w:r>
              <w:rPr>
                <w:rFonts w:ascii="Arial" w:hAnsi="Arial"/>
                <w:i/>
              </w:rPr>
              <w:t>Uzturēšanas un atbalsta līgums nosaka noteikumus, saskaņā ar kuriem CKS pakalpojumu nodrošinātājs nodrošina uzturēšanas un atbalsta pakalpojumus, lai sniegtu labumu ND TSO funkcijas līdzekļu līdzīpašniekiem.</w:t>
            </w:r>
          </w:p>
          <w:p w14:paraId="2EE33AAF" w14:textId="77777777" w:rsidR="00CD1EDA" w:rsidRPr="00CB4A63" w:rsidRDefault="00CD1EDA" w:rsidP="00CD1EDA">
            <w:pPr>
              <w:spacing w:after="0" w:line="240" w:lineRule="auto"/>
              <w:jc w:val="both"/>
              <w:rPr>
                <w:rFonts w:ascii="Arial" w:eastAsia="Calibri" w:hAnsi="Arial" w:cs="Arial"/>
                <w:i/>
              </w:rPr>
            </w:pPr>
          </w:p>
        </w:tc>
      </w:tr>
      <w:tr w:rsidR="00CD1EDA" w:rsidRPr="00CB4A63" w14:paraId="35894EAC" w14:textId="77777777" w:rsidTr="000B5E7A">
        <w:trPr>
          <w:trHeight w:val="638"/>
        </w:trPr>
        <w:tc>
          <w:tcPr>
            <w:tcW w:w="3070" w:type="dxa"/>
          </w:tcPr>
          <w:p w14:paraId="1D49E5F5" w14:textId="327941BE" w:rsidR="00CD1EDA" w:rsidRPr="00CB4A63" w:rsidRDefault="00CD1EDA" w:rsidP="00CD1EDA">
            <w:pPr>
              <w:spacing w:after="0" w:line="240" w:lineRule="auto"/>
              <w:jc w:val="center"/>
              <w:rPr>
                <w:rFonts w:ascii="Arial" w:eastAsia="Calibri" w:hAnsi="Arial" w:cs="Arial"/>
                <w:b/>
              </w:rPr>
            </w:pPr>
          </w:p>
          <w:p w14:paraId="70DBE84B" w14:textId="77777777" w:rsidR="00C12C03" w:rsidRPr="00CB4A63" w:rsidRDefault="00C12C03" w:rsidP="00CD1EDA">
            <w:pPr>
              <w:spacing w:after="0" w:line="240" w:lineRule="auto"/>
              <w:jc w:val="center"/>
              <w:rPr>
                <w:rFonts w:ascii="Arial" w:eastAsia="Calibri" w:hAnsi="Arial" w:cs="Arial"/>
                <w:b/>
              </w:rPr>
            </w:pPr>
          </w:p>
          <w:p w14:paraId="3707B3C2" w14:textId="77777777" w:rsidR="00CD1EDA" w:rsidRPr="00CB4A63" w:rsidRDefault="00CD1EDA" w:rsidP="00CD1EDA">
            <w:pPr>
              <w:spacing w:after="0" w:line="240" w:lineRule="auto"/>
              <w:jc w:val="center"/>
              <w:rPr>
                <w:rFonts w:ascii="Arial" w:eastAsia="Calibri" w:hAnsi="Arial" w:cs="Arial"/>
                <w:b/>
              </w:rPr>
            </w:pPr>
            <w:r>
              <w:rPr>
                <w:rFonts w:ascii="Arial" w:hAnsi="Arial"/>
                <w:b/>
              </w:rPr>
              <w:t xml:space="preserve">Puses </w:t>
            </w:r>
          </w:p>
          <w:p w14:paraId="3D87E574" w14:textId="77777777" w:rsidR="00CD1EDA" w:rsidRPr="00CB4A63" w:rsidRDefault="00CD1EDA" w:rsidP="00CD1EDA">
            <w:pPr>
              <w:spacing w:after="0" w:line="240" w:lineRule="auto"/>
              <w:jc w:val="center"/>
              <w:rPr>
                <w:rFonts w:ascii="Arial" w:eastAsia="Calibri" w:hAnsi="Arial" w:cs="Arial"/>
                <w:b/>
              </w:rPr>
            </w:pPr>
          </w:p>
        </w:tc>
        <w:tc>
          <w:tcPr>
            <w:tcW w:w="6536" w:type="dxa"/>
          </w:tcPr>
          <w:p w14:paraId="65991A93" w14:textId="77777777" w:rsidR="00C12C03" w:rsidRPr="00CB4A63" w:rsidRDefault="00C12C03" w:rsidP="00CD1EDA">
            <w:pPr>
              <w:spacing w:after="0" w:line="240" w:lineRule="auto"/>
              <w:jc w:val="both"/>
              <w:rPr>
                <w:rFonts w:ascii="Arial" w:eastAsia="Calibri" w:hAnsi="Arial" w:cs="Arial"/>
              </w:rPr>
            </w:pPr>
          </w:p>
          <w:p w14:paraId="217A7406" w14:textId="39AE0F98" w:rsidR="00CD1EDA" w:rsidRPr="00CB4A63" w:rsidRDefault="00592F1B" w:rsidP="00CD1EDA">
            <w:pPr>
              <w:spacing w:after="0" w:line="240" w:lineRule="auto"/>
              <w:jc w:val="both"/>
              <w:rPr>
                <w:rFonts w:ascii="Arial" w:eastAsia="Calibri" w:hAnsi="Arial" w:cs="Arial"/>
              </w:rPr>
            </w:pPr>
            <w:r>
              <w:rPr>
                <w:rFonts w:ascii="Arial" w:hAnsi="Arial"/>
              </w:rPr>
              <w:t>Viens ND TSO funkcijas līdzekļu līdzīpašnieks (savā vārdā un citu ND TSO funkcijas līdzekļu līdzīpašnieku uzdevumā), CKS pakalpojumu nodrošinātājs</w:t>
            </w:r>
          </w:p>
          <w:p w14:paraId="71C1DEB2" w14:textId="77777777" w:rsidR="00CD1EDA" w:rsidRPr="00CB4A63" w:rsidRDefault="00CD1EDA" w:rsidP="00CD1EDA">
            <w:pPr>
              <w:spacing w:after="0" w:line="240" w:lineRule="auto"/>
              <w:jc w:val="both"/>
              <w:rPr>
                <w:rFonts w:ascii="Arial" w:eastAsia="Calibri" w:hAnsi="Arial" w:cs="Arial"/>
                <w:i/>
              </w:rPr>
            </w:pPr>
          </w:p>
        </w:tc>
      </w:tr>
      <w:tr w:rsidR="00CD1EDA" w:rsidRPr="00CB4A63" w14:paraId="27C6B1F8" w14:textId="77777777" w:rsidTr="000B5E7A">
        <w:trPr>
          <w:trHeight w:val="845"/>
        </w:trPr>
        <w:tc>
          <w:tcPr>
            <w:tcW w:w="3070" w:type="dxa"/>
          </w:tcPr>
          <w:p w14:paraId="38AF16D1" w14:textId="77777777" w:rsidR="00CD1EDA" w:rsidRPr="00CB4A63" w:rsidRDefault="00CD1EDA" w:rsidP="00CD1EDA">
            <w:pPr>
              <w:spacing w:after="0" w:line="240" w:lineRule="auto"/>
              <w:jc w:val="center"/>
              <w:rPr>
                <w:rFonts w:ascii="Arial" w:eastAsia="Calibri" w:hAnsi="Arial" w:cs="Arial"/>
                <w:b/>
              </w:rPr>
            </w:pPr>
          </w:p>
          <w:p w14:paraId="300B201A" w14:textId="635AECD5" w:rsidR="00CD1EDA" w:rsidRPr="00CB4A63" w:rsidRDefault="004D328A" w:rsidP="00CD1EDA">
            <w:pPr>
              <w:spacing w:after="0" w:line="240" w:lineRule="auto"/>
              <w:jc w:val="center"/>
              <w:rPr>
                <w:rFonts w:ascii="Arial" w:eastAsia="Calibri" w:hAnsi="Arial" w:cs="Arial"/>
                <w:b/>
              </w:rPr>
            </w:pPr>
            <w:r>
              <w:rPr>
                <w:rFonts w:ascii="Arial" w:hAnsi="Arial"/>
                <w:b/>
              </w:rPr>
              <w:t>Darbības joma</w:t>
            </w:r>
          </w:p>
        </w:tc>
        <w:tc>
          <w:tcPr>
            <w:tcW w:w="6536" w:type="dxa"/>
          </w:tcPr>
          <w:p w14:paraId="35DB468F" w14:textId="77777777" w:rsidR="00CD1EDA" w:rsidRPr="00CB4A63" w:rsidRDefault="00CD1EDA" w:rsidP="00CD1EDA">
            <w:pPr>
              <w:spacing w:after="0" w:line="240" w:lineRule="auto"/>
              <w:jc w:val="both"/>
              <w:rPr>
                <w:rFonts w:ascii="Arial" w:eastAsia="Calibri" w:hAnsi="Arial" w:cs="Arial"/>
              </w:rPr>
            </w:pPr>
          </w:p>
          <w:p w14:paraId="7AB2BD1C" w14:textId="2AA1A1B4" w:rsidR="00CD1EDA" w:rsidRPr="00CB4A63" w:rsidRDefault="00CD1EDA" w:rsidP="00384080">
            <w:pPr>
              <w:widowControl w:val="0"/>
              <w:numPr>
                <w:ilvl w:val="0"/>
                <w:numId w:val="56"/>
              </w:numPr>
              <w:shd w:val="clear" w:color="auto" w:fill="FFFFFF"/>
              <w:tabs>
                <w:tab w:val="left" w:pos="408"/>
              </w:tabs>
              <w:autoSpaceDE w:val="0"/>
              <w:autoSpaceDN w:val="0"/>
              <w:adjustRightInd w:val="0"/>
              <w:spacing w:after="0" w:line="240" w:lineRule="auto"/>
              <w:ind w:left="0"/>
              <w:contextualSpacing/>
              <w:jc w:val="both"/>
              <w:rPr>
                <w:rFonts w:ascii="Arial" w:eastAsia="Calibri" w:hAnsi="Arial" w:cs="Arial"/>
              </w:rPr>
            </w:pPr>
            <w:bookmarkStart w:id="160" w:name="_Toc330247821"/>
            <w:r>
              <w:rPr>
                <w:rFonts w:ascii="Arial" w:hAnsi="Arial"/>
              </w:rPr>
              <w:t>uzturēšanas un atbalsta pakalpojumi;</w:t>
            </w:r>
          </w:p>
          <w:p w14:paraId="360DD8AD" w14:textId="77777777" w:rsidR="00CD1EDA" w:rsidRPr="00CB4A63" w:rsidRDefault="00CD1EDA" w:rsidP="00384080">
            <w:pPr>
              <w:widowControl w:val="0"/>
              <w:numPr>
                <w:ilvl w:val="0"/>
                <w:numId w:val="56"/>
              </w:numPr>
              <w:shd w:val="clear" w:color="auto" w:fill="FFFFFF"/>
              <w:tabs>
                <w:tab w:val="left" w:pos="408"/>
              </w:tabs>
              <w:autoSpaceDE w:val="0"/>
              <w:autoSpaceDN w:val="0"/>
              <w:adjustRightInd w:val="0"/>
              <w:spacing w:after="0" w:line="240" w:lineRule="auto"/>
              <w:ind w:left="0"/>
              <w:contextualSpacing/>
              <w:jc w:val="both"/>
              <w:rPr>
                <w:rFonts w:ascii="Arial" w:eastAsia="Calibri" w:hAnsi="Arial" w:cs="Arial"/>
              </w:rPr>
            </w:pPr>
            <w:bookmarkStart w:id="161" w:name="_Toc330247822"/>
            <w:bookmarkEnd w:id="160"/>
            <w:r>
              <w:rPr>
                <w:rFonts w:ascii="Arial" w:hAnsi="Arial"/>
              </w:rPr>
              <w:t>starpgadījumu pārvaldības pakalpojumi;</w:t>
            </w:r>
            <w:bookmarkEnd w:id="161"/>
          </w:p>
          <w:p w14:paraId="4C3E4847" w14:textId="77777777" w:rsidR="00CD1EDA" w:rsidRPr="00CB4A63" w:rsidRDefault="00CD1EDA" w:rsidP="00384080">
            <w:pPr>
              <w:widowControl w:val="0"/>
              <w:numPr>
                <w:ilvl w:val="0"/>
                <w:numId w:val="56"/>
              </w:numPr>
              <w:shd w:val="clear" w:color="auto" w:fill="FFFFFF"/>
              <w:tabs>
                <w:tab w:val="left" w:pos="408"/>
              </w:tabs>
              <w:autoSpaceDE w:val="0"/>
              <w:autoSpaceDN w:val="0"/>
              <w:adjustRightInd w:val="0"/>
              <w:spacing w:after="0" w:line="240" w:lineRule="auto"/>
              <w:ind w:left="0"/>
              <w:contextualSpacing/>
              <w:jc w:val="both"/>
              <w:rPr>
                <w:rFonts w:ascii="Arial" w:eastAsia="Calibri" w:hAnsi="Arial" w:cs="Arial"/>
              </w:rPr>
            </w:pPr>
            <w:bookmarkStart w:id="162" w:name="_Toc330247825"/>
            <w:r>
              <w:rPr>
                <w:rFonts w:ascii="Arial" w:hAnsi="Arial"/>
              </w:rPr>
              <w:t>izmaiņu pieprasījumu pakalpojumi;</w:t>
            </w:r>
            <w:bookmarkEnd w:id="162"/>
          </w:p>
          <w:p w14:paraId="0C67A70F" w14:textId="77777777" w:rsidR="00CD1EDA" w:rsidRPr="00CB4A63" w:rsidRDefault="00CD1EDA" w:rsidP="00384080">
            <w:pPr>
              <w:widowControl w:val="0"/>
              <w:numPr>
                <w:ilvl w:val="0"/>
                <w:numId w:val="56"/>
              </w:numPr>
              <w:shd w:val="clear" w:color="auto" w:fill="FFFFFF"/>
              <w:tabs>
                <w:tab w:val="left" w:pos="408"/>
              </w:tabs>
              <w:autoSpaceDE w:val="0"/>
              <w:autoSpaceDN w:val="0"/>
              <w:adjustRightInd w:val="0"/>
              <w:spacing w:after="0" w:line="240" w:lineRule="auto"/>
              <w:ind w:left="0"/>
              <w:contextualSpacing/>
              <w:jc w:val="both"/>
              <w:rPr>
                <w:rFonts w:ascii="Arial" w:eastAsia="Calibri" w:hAnsi="Arial" w:cs="Arial"/>
              </w:rPr>
            </w:pPr>
            <w:r>
              <w:rPr>
                <w:rFonts w:ascii="Arial" w:hAnsi="Arial"/>
              </w:rPr>
              <w:t>Paplašinātās testēšanas fāzes pakalpojumi.</w:t>
            </w:r>
          </w:p>
          <w:p w14:paraId="68C9FB9D" w14:textId="77777777" w:rsidR="00CD1EDA" w:rsidRPr="00CB4A63" w:rsidRDefault="00CD1EDA" w:rsidP="00F4255C">
            <w:pPr>
              <w:widowControl w:val="0"/>
              <w:numPr>
                <w:ilvl w:val="0"/>
                <w:numId w:val="56"/>
              </w:numPr>
              <w:shd w:val="clear" w:color="auto" w:fill="FFFFFF"/>
              <w:tabs>
                <w:tab w:val="left" w:pos="408"/>
              </w:tabs>
              <w:autoSpaceDE w:val="0"/>
              <w:autoSpaceDN w:val="0"/>
              <w:adjustRightInd w:val="0"/>
              <w:spacing w:after="0" w:line="240" w:lineRule="auto"/>
              <w:ind w:left="0"/>
              <w:contextualSpacing/>
              <w:jc w:val="both"/>
              <w:rPr>
                <w:rFonts w:ascii="Arial" w:eastAsia="Calibri" w:hAnsi="Arial" w:cs="Arial"/>
              </w:rPr>
            </w:pPr>
          </w:p>
        </w:tc>
      </w:tr>
    </w:tbl>
    <w:p w14:paraId="02E1AF36" w14:textId="77777777" w:rsidR="00CD1EDA" w:rsidRPr="00CB4A63" w:rsidRDefault="00CD1EDA" w:rsidP="00935D10">
      <w:pPr>
        <w:spacing w:after="160" w:line="259" w:lineRule="auto"/>
      </w:pPr>
    </w:p>
    <w:p w14:paraId="270B6417" w14:textId="77777777" w:rsidR="003061D9" w:rsidRPr="00CB4A63" w:rsidRDefault="003061D9">
      <w:pPr>
        <w:spacing w:after="160" w:line="259" w:lineRule="auto"/>
        <w:rPr>
          <w:rFonts w:asciiTheme="majorHAnsi" w:eastAsia="Times New Roman" w:hAnsiTheme="majorHAnsi" w:cstheme="majorBidi"/>
          <w:b/>
          <w:bCs/>
          <w:color w:val="5B9BD5" w:themeColor="accent1"/>
          <w:sz w:val="26"/>
          <w:szCs w:val="26"/>
        </w:rPr>
      </w:pPr>
      <w:r>
        <w:br w:type="page"/>
      </w:r>
    </w:p>
    <w:p w14:paraId="7B0B860B" w14:textId="77777777" w:rsidR="00CD1EDA" w:rsidRPr="00CB4A63" w:rsidRDefault="00CD1EDA" w:rsidP="00CD1EDA">
      <w:pPr>
        <w:pStyle w:val="Virsraksts2"/>
        <w:ind w:left="567"/>
        <w:rPr>
          <w:rFonts w:eastAsia="Times New Roman"/>
        </w:rPr>
      </w:pPr>
      <w:bookmarkStart w:id="163" w:name="_Toc479786240"/>
      <w:bookmarkStart w:id="164" w:name="_Toc484770719"/>
      <w:r>
        <w:lastRenderedPageBreak/>
        <w:t xml:space="preserve">Kopsavilkums līgumam ar ND TSO funkcijas pakalpojumu nodrošinātāju </w:t>
      </w:r>
      <w:r>
        <w:rPr>
          <w:rFonts w:ascii="Calibri" w:hAnsi="Calibri"/>
          <w:color w:val="5B9BD4"/>
        </w:rPr>
        <w:t xml:space="preserve">– </w:t>
      </w:r>
      <w:r>
        <w:t>algoritma pakalpojumu nodrošinātāju</w:t>
      </w:r>
      <w:bookmarkEnd w:id="163"/>
      <w:bookmarkEnd w:id="164"/>
    </w:p>
    <w:p w14:paraId="042253FA" w14:textId="77777777" w:rsidR="00CD1EDA" w:rsidRPr="00CB4A63" w:rsidRDefault="00CD1EDA" w:rsidP="00B55F18">
      <w:pPr>
        <w:spacing w:after="160" w:line="259" w:lineRule="auto"/>
        <w:jc w:val="center"/>
      </w:pPr>
    </w:p>
    <w:tbl>
      <w:tblPr>
        <w:tblStyle w:val="Reatabula"/>
        <w:tblW w:w="9606" w:type="dxa"/>
        <w:tblLook w:val="04A0" w:firstRow="1" w:lastRow="0" w:firstColumn="1" w:lastColumn="0" w:noHBand="0" w:noVBand="1"/>
      </w:tblPr>
      <w:tblGrid>
        <w:gridCol w:w="3070"/>
        <w:gridCol w:w="6536"/>
      </w:tblGrid>
      <w:tr w:rsidR="00CD1EDA" w:rsidRPr="00CB4A63" w14:paraId="24390B4E" w14:textId="77777777" w:rsidTr="00CD1EDA">
        <w:tc>
          <w:tcPr>
            <w:tcW w:w="960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33FC5A97" w14:textId="77777777" w:rsidR="00CD1EDA" w:rsidRPr="00CB4A63" w:rsidRDefault="00CD1EDA">
            <w:pPr>
              <w:spacing w:after="0" w:line="240" w:lineRule="auto"/>
              <w:jc w:val="center"/>
              <w:rPr>
                <w:rFonts w:ascii="Arial" w:hAnsi="Arial" w:cs="Arial"/>
                <w:b/>
                <w:color w:val="FFFFFF" w:themeColor="background1"/>
              </w:rPr>
            </w:pPr>
          </w:p>
          <w:p w14:paraId="732C123E" w14:textId="77777777" w:rsidR="00CD1EDA" w:rsidRPr="00CB4A63" w:rsidRDefault="00CD1EDA">
            <w:pPr>
              <w:spacing w:after="0" w:line="240" w:lineRule="auto"/>
              <w:jc w:val="center"/>
              <w:rPr>
                <w:rFonts w:ascii="Arial" w:hAnsi="Arial" w:cs="Arial"/>
                <w:b/>
                <w:color w:val="FFFFFF" w:themeColor="background1"/>
              </w:rPr>
            </w:pPr>
            <w:r>
              <w:rPr>
                <w:rFonts w:ascii="Arial" w:hAnsi="Arial"/>
                <w:b/>
                <w:color w:val="FFFFFF" w:themeColor="background1"/>
              </w:rPr>
              <w:t xml:space="preserve">Līguma noteikumi </w:t>
            </w:r>
          </w:p>
          <w:p w14:paraId="7CC4C7FC" w14:textId="77777777" w:rsidR="00CD1EDA" w:rsidRPr="00CB4A63" w:rsidRDefault="00CD1EDA">
            <w:pPr>
              <w:spacing w:after="0" w:line="240" w:lineRule="auto"/>
              <w:jc w:val="center"/>
              <w:rPr>
                <w:rFonts w:ascii="Arial" w:hAnsi="Arial" w:cs="Arial"/>
                <w:b/>
                <w:color w:val="FFFFFF" w:themeColor="background1"/>
              </w:rPr>
            </w:pPr>
          </w:p>
        </w:tc>
      </w:tr>
      <w:tr w:rsidR="00CD1EDA" w:rsidRPr="00CB4A63" w14:paraId="45E228B3" w14:textId="77777777" w:rsidTr="00CD1EDA">
        <w:tc>
          <w:tcPr>
            <w:tcW w:w="3070" w:type="dxa"/>
            <w:tcBorders>
              <w:top w:val="single" w:sz="4" w:space="0" w:color="auto"/>
              <w:left w:val="single" w:sz="4" w:space="0" w:color="auto"/>
              <w:bottom w:val="single" w:sz="4" w:space="0" w:color="auto"/>
              <w:right w:val="single" w:sz="4" w:space="0" w:color="auto"/>
            </w:tcBorders>
          </w:tcPr>
          <w:p w14:paraId="257D6D66" w14:textId="77777777" w:rsidR="00CD1EDA" w:rsidRPr="00CB4A63" w:rsidRDefault="00CD1EDA">
            <w:pPr>
              <w:spacing w:after="0" w:line="240" w:lineRule="auto"/>
              <w:jc w:val="center"/>
              <w:rPr>
                <w:rFonts w:ascii="Arial" w:hAnsi="Arial" w:cs="Arial"/>
                <w:b/>
              </w:rPr>
            </w:pPr>
          </w:p>
          <w:p w14:paraId="57DAB05B" w14:textId="77777777" w:rsidR="00CD1EDA" w:rsidRPr="00CB4A63" w:rsidRDefault="00CD1EDA">
            <w:pPr>
              <w:spacing w:after="0" w:line="240" w:lineRule="auto"/>
              <w:jc w:val="center"/>
              <w:rPr>
                <w:rFonts w:ascii="Arial" w:hAnsi="Arial" w:cs="Arial"/>
                <w:b/>
              </w:rPr>
            </w:pPr>
            <w:r>
              <w:rPr>
                <w:rFonts w:ascii="Arial" w:hAnsi="Arial"/>
                <w:b/>
              </w:rPr>
              <w:t>Priekšmets</w:t>
            </w:r>
          </w:p>
        </w:tc>
        <w:tc>
          <w:tcPr>
            <w:tcW w:w="6536" w:type="dxa"/>
            <w:tcBorders>
              <w:top w:val="single" w:sz="4" w:space="0" w:color="auto"/>
              <w:left w:val="single" w:sz="4" w:space="0" w:color="auto"/>
              <w:bottom w:val="single" w:sz="4" w:space="0" w:color="auto"/>
              <w:right w:val="single" w:sz="4" w:space="0" w:color="auto"/>
            </w:tcBorders>
          </w:tcPr>
          <w:p w14:paraId="7BAC65C7" w14:textId="77777777" w:rsidR="00CD1EDA" w:rsidRPr="00CB4A63" w:rsidRDefault="00CD1EDA">
            <w:pPr>
              <w:spacing w:after="0" w:line="240" w:lineRule="auto"/>
              <w:jc w:val="both"/>
              <w:rPr>
                <w:rFonts w:ascii="Arial" w:hAnsi="Arial" w:cs="Arial"/>
                <w:i/>
              </w:rPr>
            </w:pPr>
          </w:p>
          <w:p w14:paraId="1FC97184" w14:textId="530809EA" w:rsidR="00CD1EDA" w:rsidRPr="00CB4A63" w:rsidRDefault="00CD1EDA">
            <w:pPr>
              <w:pStyle w:val="Sarakstarindkopa"/>
              <w:spacing w:after="0" w:line="240" w:lineRule="auto"/>
              <w:ind w:left="0"/>
              <w:jc w:val="both"/>
              <w:rPr>
                <w:rFonts w:ascii="Arial" w:hAnsi="Arial" w:cs="Arial"/>
                <w:i/>
              </w:rPr>
            </w:pPr>
            <w:r>
              <w:rPr>
                <w:rFonts w:ascii="Arial" w:hAnsi="Arial"/>
                <w:i/>
              </w:rPr>
              <w:t>Uzturēšanas un atbalsta līgums nosaka noteikumus, saskaņā ar kuriem algoritma pakalpojumu nodrošinātājs sniedz uzturēšanas un atbalsta pakalpojumus, lai sniegtu labumu ND TSO funkcijas līdzekļu līdzīpašniekiem.</w:t>
            </w:r>
          </w:p>
          <w:p w14:paraId="0E148FED" w14:textId="77777777" w:rsidR="00CD1EDA" w:rsidRPr="00CB4A63" w:rsidRDefault="00CD1EDA">
            <w:pPr>
              <w:spacing w:after="0" w:line="240" w:lineRule="auto"/>
              <w:jc w:val="both"/>
              <w:rPr>
                <w:rFonts w:ascii="Arial" w:hAnsi="Arial" w:cs="Arial"/>
                <w:i/>
              </w:rPr>
            </w:pPr>
          </w:p>
        </w:tc>
      </w:tr>
      <w:tr w:rsidR="00CD1EDA" w:rsidRPr="00CB4A63" w14:paraId="5C828BD1" w14:textId="77777777" w:rsidTr="00CD1EDA">
        <w:trPr>
          <w:trHeight w:val="638"/>
        </w:trPr>
        <w:tc>
          <w:tcPr>
            <w:tcW w:w="3070" w:type="dxa"/>
            <w:tcBorders>
              <w:top w:val="single" w:sz="4" w:space="0" w:color="auto"/>
              <w:left w:val="single" w:sz="4" w:space="0" w:color="auto"/>
              <w:bottom w:val="single" w:sz="4" w:space="0" w:color="auto"/>
              <w:right w:val="single" w:sz="4" w:space="0" w:color="auto"/>
            </w:tcBorders>
          </w:tcPr>
          <w:p w14:paraId="10403E50" w14:textId="77777777" w:rsidR="00CD1EDA" w:rsidRPr="00CB4A63" w:rsidRDefault="00CD1EDA">
            <w:pPr>
              <w:spacing w:after="0" w:line="240" w:lineRule="auto"/>
              <w:jc w:val="center"/>
              <w:rPr>
                <w:rFonts w:ascii="Arial" w:hAnsi="Arial" w:cs="Arial"/>
                <w:b/>
              </w:rPr>
            </w:pPr>
          </w:p>
          <w:p w14:paraId="0BA32A07" w14:textId="77777777" w:rsidR="00CD1EDA" w:rsidRPr="00CB4A63" w:rsidRDefault="00CD1EDA">
            <w:pPr>
              <w:spacing w:after="0" w:line="240" w:lineRule="auto"/>
              <w:jc w:val="center"/>
              <w:rPr>
                <w:rFonts w:ascii="Arial" w:hAnsi="Arial" w:cs="Arial"/>
                <w:b/>
              </w:rPr>
            </w:pPr>
            <w:r>
              <w:rPr>
                <w:rFonts w:ascii="Arial" w:hAnsi="Arial"/>
                <w:b/>
              </w:rPr>
              <w:t xml:space="preserve">Puses </w:t>
            </w:r>
          </w:p>
          <w:p w14:paraId="0D901368" w14:textId="77777777" w:rsidR="00CD1EDA" w:rsidRPr="00CB4A63" w:rsidRDefault="00CD1EDA">
            <w:pPr>
              <w:spacing w:after="0" w:line="240" w:lineRule="auto"/>
              <w:jc w:val="center"/>
              <w:rPr>
                <w:rFonts w:ascii="Arial" w:hAnsi="Arial" w:cs="Arial"/>
                <w:b/>
              </w:rPr>
            </w:pPr>
          </w:p>
        </w:tc>
        <w:tc>
          <w:tcPr>
            <w:tcW w:w="6536" w:type="dxa"/>
            <w:tcBorders>
              <w:top w:val="single" w:sz="4" w:space="0" w:color="auto"/>
              <w:left w:val="single" w:sz="4" w:space="0" w:color="auto"/>
              <w:bottom w:val="single" w:sz="4" w:space="0" w:color="auto"/>
              <w:right w:val="single" w:sz="4" w:space="0" w:color="auto"/>
            </w:tcBorders>
          </w:tcPr>
          <w:p w14:paraId="6B452D7B" w14:textId="77777777" w:rsidR="00592F1B" w:rsidRPr="00CB4A63" w:rsidRDefault="00592F1B">
            <w:pPr>
              <w:spacing w:after="0" w:line="240" w:lineRule="auto"/>
              <w:jc w:val="both"/>
              <w:rPr>
                <w:rFonts w:ascii="Arial" w:eastAsia="Calibri" w:hAnsi="Arial" w:cs="Arial"/>
              </w:rPr>
            </w:pPr>
          </w:p>
          <w:p w14:paraId="7ED8DCD0" w14:textId="7F4B2EE8" w:rsidR="00CD1EDA" w:rsidRPr="00CB4A63" w:rsidRDefault="00592F1B">
            <w:pPr>
              <w:spacing w:after="0" w:line="240" w:lineRule="auto"/>
              <w:jc w:val="both"/>
              <w:rPr>
                <w:rFonts w:ascii="Arial" w:hAnsi="Arial" w:cs="Arial"/>
              </w:rPr>
            </w:pPr>
            <w:r>
              <w:rPr>
                <w:rFonts w:ascii="Arial" w:hAnsi="Arial"/>
              </w:rPr>
              <w:t>Viens ND TSO funkcijas līdzekļu līdzīpašnieks (savā vārdā un citu ND TSO funkcijas līdzekļu līdzīpašnieku uzdevumā), algoritma pakalpojumu nodrošinātājs</w:t>
            </w:r>
          </w:p>
          <w:p w14:paraId="609C0541" w14:textId="77777777" w:rsidR="00CD1EDA" w:rsidRPr="00CB4A63" w:rsidRDefault="00CD1EDA">
            <w:pPr>
              <w:spacing w:after="0" w:line="240" w:lineRule="auto"/>
              <w:jc w:val="both"/>
              <w:rPr>
                <w:rFonts w:ascii="Arial" w:hAnsi="Arial" w:cs="Arial"/>
                <w:i/>
              </w:rPr>
            </w:pPr>
          </w:p>
        </w:tc>
      </w:tr>
      <w:tr w:rsidR="00CD1EDA" w:rsidRPr="00CB4A63" w14:paraId="0E72D13A" w14:textId="77777777" w:rsidTr="00CD1EDA">
        <w:trPr>
          <w:trHeight w:val="845"/>
        </w:trPr>
        <w:tc>
          <w:tcPr>
            <w:tcW w:w="3070" w:type="dxa"/>
            <w:tcBorders>
              <w:top w:val="single" w:sz="4" w:space="0" w:color="auto"/>
              <w:left w:val="single" w:sz="4" w:space="0" w:color="auto"/>
              <w:bottom w:val="single" w:sz="4" w:space="0" w:color="auto"/>
              <w:right w:val="single" w:sz="4" w:space="0" w:color="auto"/>
            </w:tcBorders>
          </w:tcPr>
          <w:p w14:paraId="61CB1E5E" w14:textId="77777777" w:rsidR="00CD1EDA" w:rsidRPr="00CB4A63" w:rsidRDefault="00CD1EDA">
            <w:pPr>
              <w:spacing w:after="0" w:line="240" w:lineRule="auto"/>
              <w:jc w:val="center"/>
              <w:rPr>
                <w:rFonts w:ascii="Arial" w:hAnsi="Arial" w:cs="Arial"/>
                <w:b/>
              </w:rPr>
            </w:pPr>
          </w:p>
          <w:p w14:paraId="4858D9BC" w14:textId="77777777" w:rsidR="00CD1EDA" w:rsidRPr="00CB4A63" w:rsidRDefault="00CD1EDA">
            <w:pPr>
              <w:spacing w:after="0" w:line="240" w:lineRule="auto"/>
              <w:jc w:val="center"/>
              <w:rPr>
                <w:rFonts w:ascii="Arial" w:hAnsi="Arial" w:cs="Arial"/>
                <w:b/>
              </w:rPr>
            </w:pPr>
            <w:r>
              <w:rPr>
                <w:rFonts w:ascii="Arial" w:hAnsi="Arial"/>
                <w:b/>
              </w:rPr>
              <w:t>Pušu pienākumi</w:t>
            </w:r>
          </w:p>
        </w:tc>
        <w:tc>
          <w:tcPr>
            <w:tcW w:w="6536" w:type="dxa"/>
            <w:tcBorders>
              <w:top w:val="single" w:sz="4" w:space="0" w:color="auto"/>
              <w:left w:val="single" w:sz="4" w:space="0" w:color="auto"/>
              <w:bottom w:val="single" w:sz="4" w:space="0" w:color="auto"/>
              <w:right w:val="single" w:sz="4" w:space="0" w:color="auto"/>
            </w:tcBorders>
          </w:tcPr>
          <w:p w14:paraId="13A5D61E" w14:textId="77777777" w:rsidR="00CD1EDA" w:rsidRPr="00CB4A63" w:rsidRDefault="00CD1EDA">
            <w:pPr>
              <w:spacing w:after="0" w:line="240" w:lineRule="auto"/>
              <w:jc w:val="both"/>
              <w:rPr>
                <w:rFonts w:ascii="Arial" w:hAnsi="Arial" w:cs="Arial"/>
              </w:rPr>
            </w:pPr>
          </w:p>
          <w:p w14:paraId="5C14080D" w14:textId="77777777" w:rsidR="00592F1B" w:rsidRPr="00CB4A63" w:rsidRDefault="00592F1B" w:rsidP="00592F1B">
            <w:pPr>
              <w:widowControl w:val="0"/>
              <w:numPr>
                <w:ilvl w:val="0"/>
                <w:numId w:val="60"/>
              </w:numPr>
              <w:shd w:val="clear" w:color="auto" w:fill="FFFFFF"/>
              <w:tabs>
                <w:tab w:val="left" w:pos="408"/>
              </w:tabs>
              <w:autoSpaceDE w:val="0"/>
              <w:autoSpaceDN w:val="0"/>
              <w:adjustRightInd w:val="0"/>
              <w:spacing w:after="0" w:line="240" w:lineRule="auto"/>
              <w:contextualSpacing/>
              <w:jc w:val="both"/>
              <w:rPr>
                <w:rFonts w:ascii="Arial" w:eastAsia="Calibri" w:hAnsi="Arial" w:cs="Arial"/>
              </w:rPr>
            </w:pPr>
            <w:r>
              <w:rPr>
                <w:rFonts w:ascii="Arial" w:hAnsi="Arial"/>
              </w:rPr>
              <w:t>uzturēšanas un atbalsta pakalpojumi;</w:t>
            </w:r>
          </w:p>
          <w:p w14:paraId="0785BBAF" w14:textId="77777777" w:rsidR="00592F1B" w:rsidRPr="00CB4A63" w:rsidRDefault="00592F1B" w:rsidP="00592F1B">
            <w:pPr>
              <w:widowControl w:val="0"/>
              <w:numPr>
                <w:ilvl w:val="0"/>
                <w:numId w:val="60"/>
              </w:numPr>
              <w:shd w:val="clear" w:color="auto" w:fill="FFFFFF"/>
              <w:tabs>
                <w:tab w:val="left" w:pos="408"/>
              </w:tabs>
              <w:autoSpaceDE w:val="0"/>
              <w:autoSpaceDN w:val="0"/>
              <w:adjustRightInd w:val="0"/>
              <w:spacing w:after="0" w:line="240" w:lineRule="auto"/>
              <w:contextualSpacing/>
              <w:jc w:val="both"/>
              <w:rPr>
                <w:rFonts w:ascii="Arial" w:eastAsia="Calibri" w:hAnsi="Arial" w:cs="Arial"/>
              </w:rPr>
            </w:pPr>
            <w:r>
              <w:rPr>
                <w:rFonts w:ascii="Arial" w:hAnsi="Arial"/>
              </w:rPr>
              <w:t>starpgadījumu pārvaldības pakalpojumi;</w:t>
            </w:r>
          </w:p>
          <w:p w14:paraId="307DDDB3" w14:textId="77777777" w:rsidR="00592F1B" w:rsidRPr="00CB4A63" w:rsidRDefault="00592F1B" w:rsidP="00592F1B">
            <w:pPr>
              <w:widowControl w:val="0"/>
              <w:numPr>
                <w:ilvl w:val="0"/>
                <w:numId w:val="60"/>
              </w:numPr>
              <w:shd w:val="clear" w:color="auto" w:fill="FFFFFF"/>
              <w:tabs>
                <w:tab w:val="left" w:pos="408"/>
              </w:tabs>
              <w:autoSpaceDE w:val="0"/>
              <w:autoSpaceDN w:val="0"/>
              <w:adjustRightInd w:val="0"/>
              <w:spacing w:after="0" w:line="240" w:lineRule="auto"/>
              <w:contextualSpacing/>
              <w:jc w:val="both"/>
              <w:rPr>
                <w:rFonts w:ascii="Arial" w:eastAsia="Calibri" w:hAnsi="Arial" w:cs="Arial"/>
              </w:rPr>
            </w:pPr>
            <w:r>
              <w:rPr>
                <w:rFonts w:ascii="Arial" w:hAnsi="Arial"/>
              </w:rPr>
              <w:t>izmaiņu pieprasījumu pakalpojumi;</w:t>
            </w:r>
          </w:p>
          <w:p w14:paraId="6D7198E9" w14:textId="77777777" w:rsidR="00CD1EDA" w:rsidRPr="00CB4A63" w:rsidRDefault="00CD1EDA" w:rsidP="00592F1B">
            <w:pPr>
              <w:pStyle w:val="Sarakstarindkopa"/>
              <w:widowControl w:val="0"/>
              <w:numPr>
                <w:ilvl w:val="0"/>
                <w:numId w:val="60"/>
              </w:numPr>
              <w:shd w:val="clear" w:color="auto" w:fill="FFFFFF"/>
              <w:tabs>
                <w:tab w:val="left" w:pos="408"/>
              </w:tabs>
              <w:autoSpaceDE w:val="0"/>
              <w:autoSpaceDN w:val="0"/>
              <w:adjustRightInd w:val="0"/>
              <w:spacing w:after="0" w:line="240" w:lineRule="auto"/>
              <w:jc w:val="both"/>
              <w:rPr>
                <w:rFonts w:ascii="Arial" w:hAnsi="Arial" w:cs="Arial"/>
              </w:rPr>
            </w:pPr>
            <w:r>
              <w:rPr>
                <w:rFonts w:ascii="Arial" w:hAnsi="Arial"/>
              </w:rPr>
              <w:t>konsultēšanas pakalpojumi.</w:t>
            </w:r>
          </w:p>
          <w:p w14:paraId="3A0419C8" w14:textId="1974E340" w:rsidR="00CD1EDA" w:rsidRPr="00CB4A63" w:rsidRDefault="00CD1EDA">
            <w:pPr>
              <w:widowControl w:val="0"/>
              <w:shd w:val="clear" w:color="auto" w:fill="FFFFFF"/>
              <w:tabs>
                <w:tab w:val="left" w:pos="408"/>
              </w:tabs>
              <w:autoSpaceDE w:val="0"/>
              <w:autoSpaceDN w:val="0"/>
              <w:adjustRightInd w:val="0"/>
              <w:spacing w:after="0" w:line="240" w:lineRule="auto"/>
              <w:jc w:val="both"/>
              <w:rPr>
                <w:rFonts w:ascii="Arial" w:hAnsi="Arial" w:cs="Arial"/>
              </w:rPr>
            </w:pPr>
          </w:p>
          <w:p w14:paraId="4A5DE04D" w14:textId="77777777" w:rsidR="00CD1EDA" w:rsidRPr="00CB4A63" w:rsidRDefault="00CD1EDA">
            <w:pPr>
              <w:pStyle w:val="Sarakstarindkopa"/>
              <w:spacing w:after="0" w:line="240" w:lineRule="auto"/>
              <w:ind w:left="0"/>
              <w:jc w:val="both"/>
              <w:rPr>
                <w:rFonts w:ascii="Arial" w:hAnsi="Arial" w:cs="Arial"/>
              </w:rPr>
            </w:pPr>
          </w:p>
        </w:tc>
      </w:tr>
    </w:tbl>
    <w:p w14:paraId="3B568A89" w14:textId="77777777" w:rsidR="00CD1EDA" w:rsidRPr="00CB4A63" w:rsidRDefault="00CD1EDA" w:rsidP="00B55F18">
      <w:pPr>
        <w:spacing w:after="160" w:line="259" w:lineRule="auto"/>
        <w:jc w:val="center"/>
      </w:pPr>
    </w:p>
    <w:p w14:paraId="020D6DBC" w14:textId="77777777" w:rsidR="003061D9" w:rsidRPr="00CB4A63" w:rsidRDefault="003061D9">
      <w:pPr>
        <w:spacing w:after="160" w:line="259" w:lineRule="auto"/>
        <w:rPr>
          <w:rFonts w:asciiTheme="majorHAnsi" w:eastAsia="Times New Roman" w:hAnsiTheme="majorHAnsi" w:cstheme="majorBidi"/>
          <w:b/>
          <w:bCs/>
          <w:color w:val="5B9BD5" w:themeColor="accent1"/>
          <w:sz w:val="26"/>
          <w:szCs w:val="26"/>
        </w:rPr>
      </w:pPr>
      <w:r>
        <w:br w:type="page"/>
      </w:r>
    </w:p>
    <w:p w14:paraId="58376F1B" w14:textId="77777777" w:rsidR="00CD1EDA" w:rsidRPr="00CB4A63" w:rsidRDefault="00CD1EDA" w:rsidP="00CD1EDA">
      <w:pPr>
        <w:pStyle w:val="Virsraksts2"/>
        <w:ind w:left="567"/>
        <w:rPr>
          <w:rFonts w:eastAsia="Times New Roman"/>
        </w:rPr>
      </w:pPr>
      <w:bookmarkStart w:id="165" w:name="_Toc479786241"/>
      <w:bookmarkStart w:id="166" w:name="_Toc484770720"/>
      <w:r>
        <w:lastRenderedPageBreak/>
        <w:t xml:space="preserve">Kopsavilkums līgumam ar ND TSO funkcijas pakalpojumu nodrošinātāju </w:t>
      </w:r>
      <w:r>
        <w:rPr>
          <w:rFonts w:ascii="Calibri" w:hAnsi="Calibri"/>
          <w:color w:val="5B9BD4"/>
        </w:rPr>
        <w:t xml:space="preserve">– </w:t>
      </w:r>
      <w:r>
        <w:t>sakaru tīkla piegādātāju</w:t>
      </w:r>
      <w:bookmarkEnd w:id="165"/>
      <w:bookmarkEnd w:id="166"/>
    </w:p>
    <w:p w14:paraId="61AE4649" w14:textId="77777777" w:rsidR="00CD1EDA" w:rsidRPr="00CB4A63" w:rsidRDefault="00CD1EDA" w:rsidP="00B55F18">
      <w:pPr>
        <w:spacing w:after="160" w:line="259" w:lineRule="auto"/>
        <w:jc w:val="center"/>
      </w:pPr>
    </w:p>
    <w:tbl>
      <w:tblPr>
        <w:tblStyle w:val="TableGrid2"/>
        <w:tblW w:w="9606" w:type="dxa"/>
        <w:tblLook w:val="04A0" w:firstRow="1" w:lastRow="0" w:firstColumn="1" w:lastColumn="0" w:noHBand="0" w:noVBand="1"/>
      </w:tblPr>
      <w:tblGrid>
        <w:gridCol w:w="3070"/>
        <w:gridCol w:w="6536"/>
      </w:tblGrid>
      <w:tr w:rsidR="00CD1EDA" w:rsidRPr="00CB4A63" w14:paraId="1AFE635F" w14:textId="77777777" w:rsidTr="00CD1EDA">
        <w:tc>
          <w:tcPr>
            <w:tcW w:w="960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5CB4970" w14:textId="77777777" w:rsidR="00CD1EDA" w:rsidRPr="00CB4A63" w:rsidRDefault="00CD1EDA" w:rsidP="00CD1EDA">
            <w:pPr>
              <w:spacing w:after="0" w:line="240" w:lineRule="auto"/>
              <w:jc w:val="center"/>
              <w:rPr>
                <w:rFonts w:ascii="Arial" w:hAnsi="Arial" w:cs="Arial"/>
                <w:b/>
                <w:color w:val="FFFFFF"/>
              </w:rPr>
            </w:pPr>
          </w:p>
          <w:p w14:paraId="12CD559C" w14:textId="77777777" w:rsidR="00CD1EDA" w:rsidRPr="00CB4A63" w:rsidRDefault="00CD1EDA" w:rsidP="00CD1EDA">
            <w:pPr>
              <w:spacing w:after="0" w:line="240" w:lineRule="auto"/>
              <w:jc w:val="center"/>
              <w:rPr>
                <w:rFonts w:ascii="Arial" w:hAnsi="Arial" w:cs="Arial"/>
                <w:b/>
                <w:color w:val="FFFFFF"/>
              </w:rPr>
            </w:pPr>
            <w:r>
              <w:rPr>
                <w:rFonts w:ascii="Arial" w:hAnsi="Arial"/>
                <w:b/>
                <w:color w:val="FFFFFF"/>
              </w:rPr>
              <w:t xml:space="preserve">Līguma noteikumi </w:t>
            </w:r>
          </w:p>
          <w:p w14:paraId="6A5A0854" w14:textId="77777777" w:rsidR="00CD1EDA" w:rsidRPr="00CB4A63" w:rsidRDefault="00CD1EDA" w:rsidP="00CD1EDA">
            <w:pPr>
              <w:spacing w:after="0" w:line="240" w:lineRule="auto"/>
              <w:jc w:val="center"/>
              <w:rPr>
                <w:rFonts w:ascii="Arial" w:hAnsi="Arial" w:cs="Arial"/>
                <w:b/>
                <w:color w:val="FFFFFF"/>
              </w:rPr>
            </w:pPr>
          </w:p>
        </w:tc>
      </w:tr>
      <w:tr w:rsidR="00CD1EDA" w:rsidRPr="00CB4A63" w14:paraId="02882EB9" w14:textId="77777777" w:rsidTr="00CD1EDA">
        <w:tc>
          <w:tcPr>
            <w:tcW w:w="3070" w:type="dxa"/>
            <w:tcBorders>
              <w:top w:val="single" w:sz="4" w:space="0" w:color="auto"/>
              <w:left w:val="single" w:sz="4" w:space="0" w:color="auto"/>
              <w:bottom w:val="single" w:sz="4" w:space="0" w:color="auto"/>
              <w:right w:val="single" w:sz="4" w:space="0" w:color="auto"/>
            </w:tcBorders>
          </w:tcPr>
          <w:p w14:paraId="3C8811F0" w14:textId="370B718E" w:rsidR="00CD1EDA" w:rsidRPr="00CB4A63" w:rsidRDefault="00CD1EDA" w:rsidP="00CD1EDA">
            <w:pPr>
              <w:spacing w:after="0" w:line="240" w:lineRule="auto"/>
              <w:jc w:val="center"/>
              <w:rPr>
                <w:rFonts w:ascii="Arial" w:hAnsi="Arial" w:cs="Arial"/>
                <w:b/>
              </w:rPr>
            </w:pPr>
          </w:p>
          <w:p w14:paraId="4D102CDA" w14:textId="77777777" w:rsidR="00315960" w:rsidRPr="00CB4A63" w:rsidRDefault="00315960" w:rsidP="00CD1EDA">
            <w:pPr>
              <w:spacing w:after="0" w:line="240" w:lineRule="auto"/>
              <w:jc w:val="center"/>
              <w:rPr>
                <w:rFonts w:ascii="Arial" w:hAnsi="Arial" w:cs="Arial"/>
                <w:b/>
              </w:rPr>
            </w:pPr>
          </w:p>
          <w:p w14:paraId="4B24EAFF" w14:textId="77777777" w:rsidR="00CD1EDA" w:rsidRPr="00CB4A63" w:rsidRDefault="00CD1EDA" w:rsidP="00CD1EDA">
            <w:pPr>
              <w:spacing w:after="0" w:line="240" w:lineRule="auto"/>
              <w:jc w:val="center"/>
              <w:rPr>
                <w:rFonts w:ascii="Arial" w:hAnsi="Arial" w:cs="Arial"/>
                <w:b/>
              </w:rPr>
            </w:pPr>
            <w:r>
              <w:rPr>
                <w:rFonts w:ascii="Arial" w:hAnsi="Arial"/>
                <w:b/>
              </w:rPr>
              <w:t>Priekšmets</w:t>
            </w:r>
          </w:p>
        </w:tc>
        <w:tc>
          <w:tcPr>
            <w:tcW w:w="6536" w:type="dxa"/>
            <w:tcBorders>
              <w:top w:val="single" w:sz="4" w:space="0" w:color="auto"/>
              <w:left w:val="single" w:sz="4" w:space="0" w:color="auto"/>
              <w:bottom w:val="single" w:sz="4" w:space="0" w:color="auto"/>
              <w:right w:val="single" w:sz="4" w:space="0" w:color="auto"/>
            </w:tcBorders>
          </w:tcPr>
          <w:p w14:paraId="62580510" w14:textId="77777777" w:rsidR="00CD1EDA" w:rsidRPr="00CB4A63" w:rsidRDefault="00CD1EDA" w:rsidP="00CD1EDA">
            <w:pPr>
              <w:spacing w:after="0" w:line="240" w:lineRule="auto"/>
              <w:jc w:val="both"/>
              <w:rPr>
                <w:rFonts w:ascii="Arial" w:hAnsi="Arial" w:cs="Arial"/>
              </w:rPr>
            </w:pPr>
          </w:p>
          <w:p w14:paraId="186E112F" w14:textId="39BB3527" w:rsidR="00CD1EDA" w:rsidRPr="00CB4A63" w:rsidRDefault="00CD1EDA" w:rsidP="00CD1EDA">
            <w:pPr>
              <w:spacing w:after="0" w:line="240" w:lineRule="auto"/>
              <w:contextualSpacing/>
              <w:jc w:val="both"/>
              <w:rPr>
                <w:rFonts w:ascii="Arial" w:hAnsi="Arial" w:cs="Arial"/>
                <w:i/>
              </w:rPr>
            </w:pPr>
            <w:r>
              <w:rPr>
                <w:rFonts w:ascii="Arial" w:hAnsi="Arial"/>
                <w:i/>
              </w:rPr>
              <w:t>Līgums nosaka noteikumus, saskaņā ar kuriem sakaru tīkla piegādātājs nodrošina pakalpojumus, lai sniegtu labumu ND TSO funkcijas līdzekļu līdzīpašniekiem.</w:t>
            </w:r>
          </w:p>
          <w:p w14:paraId="5195FFEE" w14:textId="77777777" w:rsidR="00CD1EDA" w:rsidRPr="00CB4A63" w:rsidRDefault="00CD1EDA" w:rsidP="00CD1EDA">
            <w:pPr>
              <w:spacing w:after="0" w:line="240" w:lineRule="auto"/>
              <w:jc w:val="both"/>
              <w:rPr>
                <w:rFonts w:ascii="Arial" w:hAnsi="Arial" w:cs="Arial"/>
                <w:i/>
              </w:rPr>
            </w:pPr>
          </w:p>
        </w:tc>
      </w:tr>
      <w:tr w:rsidR="00CD1EDA" w:rsidRPr="00CB4A63" w14:paraId="08AE4F65" w14:textId="77777777" w:rsidTr="00CD1EDA">
        <w:trPr>
          <w:trHeight w:val="638"/>
        </w:trPr>
        <w:tc>
          <w:tcPr>
            <w:tcW w:w="3070" w:type="dxa"/>
            <w:tcBorders>
              <w:top w:val="single" w:sz="4" w:space="0" w:color="auto"/>
              <w:left w:val="single" w:sz="4" w:space="0" w:color="auto"/>
              <w:bottom w:val="single" w:sz="4" w:space="0" w:color="auto"/>
              <w:right w:val="single" w:sz="4" w:space="0" w:color="auto"/>
            </w:tcBorders>
          </w:tcPr>
          <w:p w14:paraId="3D7519D7" w14:textId="77777777" w:rsidR="00CD1EDA" w:rsidRPr="00CB4A63" w:rsidRDefault="00CD1EDA" w:rsidP="00CD1EDA">
            <w:pPr>
              <w:spacing w:after="0" w:line="240" w:lineRule="auto"/>
              <w:jc w:val="center"/>
              <w:rPr>
                <w:rFonts w:ascii="Arial" w:hAnsi="Arial" w:cs="Arial"/>
                <w:b/>
              </w:rPr>
            </w:pPr>
          </w:p>
          <w:p w14:paraId="552665F2" w14:textId="77777777" w:rsidR="00315960" w:rsidRPr="00CB4A63" w:rsidRDefault="00315960" w:rsidP="00CD1EDA">
            <w:pPr>
              <w:spacing w:after="0" w:line="240" w:lineRule="auto"/>
              <w:jc w:val="center"/>
              <w:rPr>
                <w:rFonts w:ascii="Arial" w:hAnsi="Arial" w:cs="Arial"/>
                <w:b/>
              </w:rPr>
            </w:pPr>
          </w:p>
          <w:p w14:paraId="506D3482" w14:textId="58F8A031" w:rsidR="00CD1EDA" w:rsidRPr="00CB4A63" w:rsidRDefault="00CD1EDA" w:rsidP="00CD1EDA">
            <w:pPr>
              <w:spacing w:after="0" w:line="240" w:lineRule="auto"/>
              <w:jc w:val="center"/>
              <w:rPr>
                <w:rFonts w:ascii="Arial" w:hAnsi="Arial" w:cs="Arial"/>
                <w:b/>
              </w:rPr>
            </w:pPr>
            <w:r>
              <w:rPr>
                <w:rFonts w:ascii="Arial" w:hAnsi="Arial"/>
                <w:b/>
              </w:rPr>
              <w:t xml:space="preserve">Puses </w:t>
            </w:r>
          </w:p>
          <w:p w14:paraId="0884432F" w14:textId="77777777" w:rsidR="00CD1EDA" w:rsidRPr="00CB4A63" w:rsidRDefault="00CD1EDA" w:rsidP="00CD1EDA">
            <w:pPr>
              <w:spacing w:after="0" w:line="240" w:lineRule="auto"/>
              <w:jc w:val="center"/>
              <w:rPr>
                <w:rFonts w:ascii="Arial" w:hAnsi="Arial" w:cs="Arial"/>
                <w:b/>
              </w:rPr>
            </w:pPr>
          </w:p>
        </w:tc>
        <w:tc>
          <w:tcPr>
            <w:tcW w:w="6536" w:type="dxa"/>
            <w:tcBorders>
              <w:top w:val="single" w:sz="4" w:space="0" w:color="auto"/>
              <w:left w:val="single" w:sz="4" w:space="0" w:color="auto"/>
              <w:bottom w:val="single" w:sz="4" w:space="0" w:color="auto"/>
              <w:right w:val="single" w:sz="4" w:space="0" w:color="auto"/>
            </w:tcBorders>
          </w:tcPr>
          <w:p w14:paraId="35ED5D82" w14:textId="77777777" w:rsidR="002426C4" w:rsidRPr="00CB4A63" w:rsidRDefault="002426C4" w:rsidP="00F4255C">
            <w:pPr>
              <w:spacing w:after="0" w:line="240" w:lineRule="auto"/>
              <w:jc w:val="both"/>
              <w:rPr>
                <w:rFonts w:ascii="Arial" w:hAnsi="Arial" w:cs="Arial"/>
              </w:rPr>
            </w:pPr>
          </w:p>
          <w:p w14:paraId="0A21DC1E" w14:textId="34D9CB8F" w:rsidR="00F4255C" w:rsidRPr="00CB4A63" w:rsidRDefault="00F4255C" w:rsidP="00F4255C">
            <w:pPr>
              <w:spacing w:after="0" w:line="240" w:lineRule="auto"/>
              <w:jc w:val="both"/>
              <w:rPr>
                <w:rFonts w:ascii="Arial" w:hAnsi="Arial" w:cs="Arial"/>
              </w:rPr>
            </w:pPr>
            <w:r>
              <w:rPr>
                <w:rFonts w:ascii="Arial" w:hAnsi="Arial"/>
              </w:rPr>
              <w:t>Viens ND TSO funkcijas līdzekļu līdzīpašnieks (savā vārdā un citu ND TSO funkcijas līdzekļu līdzīpašnieku uzdevumā), sakaru tīkla piegādātājs</w:t>
            </w:r>
          </w:p>
          <w:p w14:paraId="5F98EC4E" w14:textId="77777777" w:rsidR="00CD1EDA" w:rsidRPr="00CB4A63" w:rsidRDefault="00CD1EDA" w:rsidP="00CD1EDA">
            <w:pPr>
              <w:spacing w:after="0" w:line="240" w:lineRule="auto"/>
              <w:jc w:val="both"/>
              <w:rPr>
                <w:rFonts w:ascii="Arial" w:hAnsi="Arial" w:cs="Arial"/>
                <w:i/>
              </w:rPr>
            </w:pPr>
          </w:p>
        </w:tc>
      </w:tr>
      <w:tr w:rsidR="00F4255C" w:rsidRPr="00CB4A63" w14:paraId="73684DE8" w14:textId="77777777" w:rsidTr="00CD1EDA">
        <w:trPr>
          <w:trHeight w:val="638"/>
        </w:trPr>
        <w:tc>
          <w:tcPr>
            <w:tcW w:w="3070" w:type="dxa"/>
            <w:tcBorders>
              <w:top w:val="single" w:sz="4" w:space="0" w:color="auto"/>
              <w:left w:val="single" w:sz="4" w:space="0" w:color="auto"/>
              <w:bottom w:val="single" w:sz="4" w:space="0" w:color="auto"/>
              <w:right w:val="single" w:sz="4" w:space="0" w:color="auto"/>
            </w:tcBorders>
          </w:tcPr>
          <w:p w14:paraId="7AD2F71C" w14:textId="77777777" w:rsidR="002426C4" w:rsidRPr="00CB4A63" w:rsidRDefault="002426C4" w:rsidP="00CD1EDA">
            <w:pPr>
              <w:spacing w:after="0" w:line="240" w:lineRule="auto"/>
              <w:jc w:val="center"/>
              <w:rPr>
                <w:rFonts w:ascii="Arial" w:hAnsi="Arial" w:cs="Arial"/>
                <w:b/>
              </w:rPr>
            </w:pPr>
          </w:p>
          <w:p w14:paraId="2D84A17A" w14:textId="261375BF" w:rsidR="002426C4" w:rsidRPr="00CB4A63" w:rsidRDefault="002426C4" w:rsidP="00CD1EDA">
            <w:pPr>
              <w:spacing w:after="0" w:line="240" w:lineRule="auto"/>
              <w:jc w:val="center"/>
              <w:rPr>
                <w:rFonts w:ascii="Arial" w:hAnsi="Arial" w:cs="Arial"/>
                <w:b/>
              </w:rPr>
            </w:pPr>
          </w:p>
          <w:p w14:paraId="5398E7A5" w14:textId="6D72DD18" w:rsidR="00315960" w:rsidRPr="00CB4A63" w:rsidRDefault="00315960" w:rsidP="00CD1EDA">
            <w:pPr>
              <w:spacing w:after="0" w:line="240" w:lineRule="auto"/>
              <w:jc w:val="center"/>
              <w:rPr>
                <w:rFonts w:ascii="Arial" w:hAnsi="Arial" w:cs="Arial"/>
                <w:b/>
              </w:rPr>
            </w:pPr>
          </w:p>
          <w:p w14:paraId="6A98C140" w14:textId="1377205D" w:rsidR="00315960" w:rsidRPr="00CB4A63" w:rsidRDefault="00315960" w:rsidP="00CD1EDA">
            <w:pPr>
              <w:spacing w:after="0" w:line="240" w:lineRule="auto"/>
              <w:jc w:val="center"/>
              <w:rPr>
                <w:rFonts w:ascii="Arial" w:hAnsi="Arial" w:cs="Arial"/>
                <w:b/>
              </w:rPr>
            </w:pPr>
          </w:p>
          <w:p w14:paraId="5C214E93" w14:textId="77777777" w:rsidR="00315960" w:rsidRPr="00CB4A63" w:rsidRDefault="00315960" w:rsidP="00315960">
            <w:pPr>
              <w:spacing w:after="0" w:line="240" w:lineRule="auto"/>
              <w:rPr>
                <w:rFonts w:ascii="Arial" w:hAnsi="Arial" w:cs="Arial"/>
                <w:b/>
              </w:rPr>
            </w:pPr>
          </w:p>
          <w:p w14:paraId="0F50653E" w14:textId="04DD0139" w:rsidR="00F4255C" w:rsidRPr="00CB4A63" w:rsidRDefault="00F4255C" w:rsidP="00CD1EDA">
            <w:pPr>
              <w:spacing w:after="0" w:line="240" w:lineRule="auto"/>
              <w:jc w:val="center"/>
              <w:rPr>
                <w:rFonts w:ascii="Arial" w:hAnsi="Arial" w:cs="Arial"/>
                <w:b/>
              </w:rPr>
            </w:pPr>
            <w:r>
              <w:rPr>
                <w:rFonts w:ascii="Arial" w:hAnsi="Arial"/>
                <w:b/>
              </w:rPr>
              <w:t>Darbības joma</w:t>
            </w:r>
          </w:p>
        </w:tc>
        <w:tc>
          <w:tcPr>
            <w:tcW w:w="6536" w:type="dxa"/>
            <w:tcBorders>
              <w:top w:val="single" w:sz="4" w:space="0" w:color="auto"/>
              <w:left w:val="single" w:sz="4" w:space="0" w:color="auto"/>
              <w:bottom w:val="single" w:sz="4" w:space="0" w:color="auto"/>
              <w:right w:val="single" w:sz="4" w:space="0" w:color="auto"/>
            </w:tcBorders>
          </w:tcPr>
          <w:p w14:paraId="1B597A21" w14:textId="77777777" w:rsidR="00315960" w:rsidRPr="00CB4A63" w:rsidRDefault="00315960" w:rsidP="00F4255C">
            <w:pPr>
              <w:spacing w:after="0" w:line="240" w:lineRule="auto"/>
              <w:jc w:val="both"/>
              <w:rPr>
                <w:rFonts w:ascii="Arial" w:hAnsi="Arial" w:cs="Arial"/>
              </w:rPr>
            </w:pPr>
          </w:p>
          <w:p w14:paraId="453E755D" w14:textId="3F6185DE" w:rsidR="00F4255C" w:rsidRPr="00CB4A63" w:rsidRDefault="00F4255C" w:rsidP="00F4255C">
            <w:pPr>
              <w:spacing w:after="0" w:line="240" w:lineRule="auto"/>
              <w:jc w:val="both"/>
              <w:rPr>
                <w:rFonts w:ascii="Arial" w:hAnsi="Arial" w:cs="Arial"/>
              </w:rPr>
            </w:pPr>
            <w:r>
              <w:rPr>
                <w:rFonts w:ascii="Arial" w:hAnsi="Arial"/>
              </w:rPr>
              <w:t xml:space="preserve">Pakalpojuma līmeņa līgums ietver šādus pakalpojumus: </w:t>
            </w:r>
          </w:p>
          <w:p w14:paraId="08293F3D" w14:textId="77777777" w:rsidR="00F4255C" w:rsidRPr="00CB4A63" w:rsidRDefault="00F4255C" w:rsidP="005325C9">
            <w:pPr>
              <w:pStyle w:val="Sarakstarindkopa"/>
              <w:numPr>
                <w:ilvl w:val="0"/>
                <w:numId w:val="130"/>
              </w:numPr>
              <w:spacing w:after="0" w:line="240" w:lineRule="auto"/>
              <w:jc w:val="both"/>
              <w:rPr>
                <w:rFonts w:ascii="Arial" w:hAnsi="Arial" w:cs="Arial"/>
                <w:i/>
              </w:rPr>
            </w:pPr>
            <w:r>
              <w:rPr>
                <w:rFonts w:ascii="Arial" w:hAnsi="Arial"/>
                <w:i/>
              </w:rPr>
              <w:t>pakalpojumu sniegšanas līgumu;</w:t>
            </w:r>
          </w:p>
          <w:p w14:paraId="316BC175" w14:textId="77777777" w:rsidR="00F4255C" w:rsidRPr="00CB4A63" w:rsidRDefault="00F4255C" w:rsidP="005325C9">
            <w:pPr>
              <w:pStyle w:val="Sarakstarindkopa"/>
              <w:numPr>
                <w:ilvl w:val="0"/>
                <w:numId w:val="130"/>
              </w:numPr>
              <w:spacing w:after="0" w:line="240" w:lineRule="auto"/>
              <w:jc w:val="both"/>
              <w:rPr>
                <w:rFonts w:ascii="Arial" w:hAnsi="Arial" w:cs="Arial"/>
                <w:i/>
              </w:rPr>
            </w:pPr>
            <w:r>
              <w:rPr>
                <w:rFonts w:ascii="Arial" w:hAnsi="Arial"/>
                <w:i/>
              </w:rPr>
              <w:t>kļūmju risināšanas līgumu;</w:t>
            </w:r>
          </w:p>
          <w:p w14:paraId="0DE9651F" w14:textId="77777777" w:rsidR="00F4255C" w:rsidRPr="00CB4A63" w:rsidRDefault="00F4255C" w:rsidP="005325C9">
            <w:pPr>
              <w:pStyle w:val="Sarakstarindkopa"/>
              <w:numPr>
                <w:ilvl w:val="0"/>
                <w:numId w:val="130"/>
              </w:numPr>
              <w:spacing w:after="0" w:line="240" w:lineRule="auto"/>
              <w:jc w:val="both"/>
              <w:rPr>
                <w:rFonts w:ascii="Arial" w:hAnsi="Arial" w:cs="Arial"/>
                <w:i/>
              </w:rPr>
            </w:pPr>
            <w:r>
              <w:rPr>
                <w:rFonts w:ascii="Arial" w:hAnsi="Arial"/>
                <w:i/>
              </w:rPr>
              <w:t>pakalpojumu pieejamības līgumu;</w:t>
            </w:r>
          </w:p>
          <w:p w14:paraId="4DD911E7" w14:textId="77777777" w:rsidR="00F4255C" w:rsidRPr="00CB4A63" w:rsidRDefault="00F4255C" w:rsidP="005325C9">
            <w:pPr>
              <w:pStyle w:val="Sarakstarindkopa"/>
              <w:numPr>
                <w:ilvl w:val="0"/>
                <w:numId w:val="130"/>
              </w:numPr>
              <w:spacing w:after="0" w:line="240" w:lineRule="auto"/>
              <w:jc w:val="both"/>
              <w:rPr>
                <w:rFonts w:ascii="Arial" w:hAnsi="Arial" w:cs="Arial"/>
                <w:i/>
              </w:rPr>
            </w:pPr>
            <w:r>
              <w:rPr>
                <w:rFonts w:ascii="Arial" w:hAnsi="Arial"/>
                <w:i/>
              </w:rPr>
              <w:t>pakalpojuma kvalitāti;</w:t>
            </w:r>
          </w:p>
          <w:p w14:paraId="1B90BB3D" w14:textId="77777777" w:rsidR="00F4255C" w:rsidRPr="00CB4A63" w:rsidRDefault="00F4255C" w:rsidP="005325C9">
            <w:pPr>
              <w:pStyle w:val="Sarakstarindkopa"/>
              <w:numPr>
                <w:ilvl w:val="0"/>
                <w:numId w:val="130"/>
              </w:numPr>
              <w:spacing w:after="0" w:line="240" w:lineRule="auto"/>
              <w:jc w:val="both"/>
              <w:rPr>
                <w:rFonts w:ascii="Arial" w:hAnsi="Arial" w:cs="Arial"/>
                <w:i/>
              </w:rPr>
            </w:pPr>
            <w:r>
              <w:rPr>
                <w:rFonts w:ascii="Arial" w:hAnsi="Arial"/>
                <w:i/>
              </w:rPr>
              <w:t>pakešu zuduma līgumu;</w:t>
            </w:r>
          </w:p>
          <w:p w14:paraId="1A6BD15A" w14:textId="77777777" w:rsidR="00F4255C" w:rsidRPr="00CB4A63" w:rsidRDefault="00F4255C" w:rsidP="005325C9">
            <w:pPr>
              <w:pStyle w:val="Sarakstarindkopa"/>
              <w:numPr>
                <w:ilvl w:val="0"/>
                <w:numId w:val="130"/>
              </w:numPr>
              <w:spacing w:after="0" w:line="240" w:lineRule="auto"/>
              <w:jc w:val="both"/>
              <w:rPr>
                <w:rFonts w:ascii="Arial" w:hAnsi="Arial" w:cs="Arial"/>
                <w:i/>
              </w:rPr>
            </w:pPr>
            <w:r>
              <w:rPr>
                <w:rFonts w:ascii="Arial" w:hAnsi="Arial"/>
                <w:i/>
              </w:rPr>
              <w:t>svārstību līmeņa līgumu;</w:t>
            </w:r>
          </w:p>
          <w:p w14:paraId="354B3A65" w14:textId="77777777" w:rsidR="00F4255C" w:rsidRPr="00CB4A63" w:rsidRDefault="00F4255C" w:rsidP="005325C9">
            <w:pPr>
              <w:pStyle w:val="Sarakstarindkopa"/>
              <w:numPr>
                <w:ilvl w:val="0"/>
                <w:numId w:val="130"/>
              </w:numPr>
              <w:spacing w:after="0" w:line="240" w:lineRule="auto"/>
              <w:jc w:val="both"/>
              <w:rPr>
                <w:rFonts w:ascii="Arial" w:hAnsi="Arial" w:cs="Arial"/>
                <w:i/>
              </w:rPr>
            </w:pPr>
            <w:r>
              <w:rPr>
                <w:rFonts w:ascii="Arial" w:hAnsi="Arial"/>
                <w:i/>
              </w:rPr>
              <w:t>aprites aizkavēm.</w:t>
            </w:r>
          </w:p>
          <w:p w14:paraId="1A48BC30" w14:textId="77777777" w:rsidR="00F4255C" w:rsidRPr="00CB4A63" w:rsidDel="00566249" w:rsidRDefault="00F4255C" w:rsidP="00CD1EDA">
            <w:pPr>
              <w:spacing w:after="0" w:line="240" w:lineRule="auto"/>
              <w:jc w:val="both"/>
              <w:rPr>
                <w:rFonts w:ascii="Arial" w:hAnsi="Arial" w:cs="Arial"/>
              </w:rPr>
            </w:pPr>
          </w:p>
        </w:tc>
      </w:tr>
    </w:tbl>
    <w:p w14:paraId="064F2F1B" w14:textId="77777777" w:rsidR="00AE53C7" w:rsidRPr="00CB4A63" w:rsidRDefault="00AE53C7" w:rsidP="008715A6">
      <w:pPr>
        <w:spacing w:after="160" w:line="259" w:lineRule="auto"/>
      </w:pPr>
    </w:p>
    <w:p w14:paraId="26CECFE3" w14:textId="77777777" w:rsidR="003061D9" w:rsidRPr="00CB4A63" w:rsidRDefault="003061D9">
      <w:pPr>
        <w:spacing w:after="160" w:line="259" w:lineRule="auto"/>
        <w:rPr>
          <w:rFonts w:asciiTheme="majorHAnsi" w:eastAsia="Times New Roman" w:hAnsiTheme="majorHAnsi" w:cs="Times New Roman"/>
          <w:b/>
          <w:bCs/>
          <w:color w:val="2E74B5" w:themeColor="accent1" w:themeShade="BF"/>
          <w:sz w:val="28"/>
          <w:szCs w:val="28"/>
        </w:rPr>
      </w:pPr>
      <w:r>
        <w:br w:type="page"/>
      </w:r>
    </w:p>
    <w:p w14:paraId="670A1054" w14:textId="77777777" w:rsidR="00AE53C7" w:rsidRPr="00CB4A63" w:rsidRDefault="00AE53C7" w:rsidP="00AE53C7">
      <w:pPr>
        <w:pStyle w:val="Virsraksts1"/>
        <w:rPr>
          <w:rFonts w:eastAsia="Times New Roman" w:cs="Times New Roman"/>
          <w:b w:val="0"/>
        </w:rPr>
      </w:pPr>
      <w:bookmarkStart w:id="167" w:name="_Toc479786242"/>
      <w:bookmarkStart w:id="168" w:name="_Toc484770721"/>
      <w:r>
        <w:lastRenderedPageBreak/>
        <w:t xml:space="preserve">3. PIELIKUMS </w:t>
      </w:r>
      <w:r>
        <w:rPr>
          <w:rFonts w:ascii="Calibri" w:hAnsi="Calibri"/>
          <w:color w:val="2D74B5"/>
        </w:rPr>
        <w:t xml:space="preserve">– </w:t>
      </w:r>
      <w:r>
        <w:t>D līgumu kopsavilkums</w:t>
      </w:r>
      <w:bookmarkEnd w:id="167"/>
      <w:bookmarkEnd w:id="168"/>
      <w:r>
        <w:t xml:space="preserve"> </w:t>
      </w:r>
    </w:p>
    <w:p w14:paraId="082150B1" w14:textId="77777777" w:rsidR="00732060" w:rsidRPr="00CB4A63" w:rsidRDefault="00732060" w:rsidP="00732060">
      <w:pPr>
        <w:pStyle w:val="Virsraksts2"/>
        <w:ind w:left="567"/>
        <w:rPr>
          <w:rFonts w:eastAsia="Times New Roman"/>
        </w:rPr>
      </w:pPr>
      <w:bookmarkStart w:id="169" w:name="_Toc479786243"/>
      <w:bookmarkStart w:id="170" w:name="_Toc484770722"/>
      <w:r>
        <w:t>NETO D darbības līguma projekta kopsavilkums</w:t>
      </w:r>
      <w:bookmarkEnd w:id="169"/>
      <w:bookmarkEnd w:id="170"/>
    </w:p>
    <w:p w14:paraId="0121588B" w14:textId="77777777" w:rsidR="00732060" w:rsidRPr="00CB4A63" w:rsidRDefault="00732060" w:rsidP="00B85FC6">
      <w:pPr>
        <w:spacing w:after="160" w:line="259" w:lineRule="auto"/>
      </w:pPr>
    </w:p>
    <w:p w14:paraId="774E6F7C" w14:textId="77777777" w:rsidR="00732060" w:rsidRPr="00CB4A63" w:rsidRDefault="00732060" w:rsidP="00384080">
      <w:pPr>
        <w:pStyle w:val="Sarakstarindkopa"/>
        <w:numPr>
          <w:ilvl w:val="0"/>
          <w:numId w:val="70"/>
        </w:numPr>
        <w:spacing w:before="120" w:after="0" w:line="240" w:lineRule="auto"/>
        <w:jc w:val="both"/>
        <w:rPr>
          <w:rFonts w:eastAsia="Times New Roman" w:cs="Times New Roman"/>
          <w:b/>
        </w:rPr>
      </w:pPr>
      <w:r>
        <w:rPr>
          <w:b/>
        </w:rPr>
        <w:t xml:space="preserve">Mērķis </w:t>
      </w:r>
    </w:p>
    <w:p w14:paraId="1717E196" w14:textId="77777777" w:rsidR="009419B9" w:rsidRPr="00CB4A63" w:rsidRDefault="009419B9" w:rsidP="008715A6">
      <w:pPr>
        <w:pStyle w:val="Sarakstarindkopa"/>
        <w:spacing w:before="120" w:after="0" w:line="240" w:lineRule="auto"/>
        <w:ind w:left="360"/>
        <w:jc w:val="both"/>
        <w:rPr>
          <w:rFonts w:ascii="Verdana" w:eastAsia="Times New Roman" w:hAnsi="Verdana" w:cs="Times New Roman"/>
          <w:b/>
          <w:sz w:val="19"/>
          <w:szCs w:val="19"/>
        </w:rPr>
      </w:pPr>
    </w:p>
    <w:p w14:paraId="0A35E7F9" w14:textId="77777777" w:rsidR="00732060" w:rsidRPr="00CB4A63" w:rsidRDefault="00732060" w:rsidP="00384080">
      <w:pPr>
        <w:pStyle w:val="Sarakstarindkopa"/>
        <w:numPr>
          <w:ilvl w:val="0"/>
          <w:numId w:val="72"/>
        </w:numPr>
        <w:spacing w:before="120" w:after="0"/>
        <w:jc w:val="both"/>
      </w:pPr>
      <w:r>
        <w:rPr>
          <w:rFonts w:ascii="Calibri" w:hAnsi="Calibri"/>
        </w:rPr>
        <w:t xml:space="preserve">D darbības līgums ir līgums, ko noslēdz visi </w:t>
      </w:r>
      <w:r>
        <w:t>DTSO funkciju pildošie NETO.</w:t>
      </w:r>
    </w:p>
    <w:p w14:paraId="511102F0" w14:textId="77777777" w:rsidR="00732060" w:rsidRPr="00CB4A63" w:rsidRDefault="00732060" w:rsidP="00384080">
      <w:pPr>
        <w:pStyle w:val="Sarakstarindkopa"/>
        <w:numPr>
          <w:ilvl w:val="0"/>
          <w:numId w:val="72"/>
        </w:numPr>
        <w:spacing w:before="120" w:after="0"/>
        <w:jc w:val="both"/>
      </w:pPr>
      <w:r>
        <w:t>Tas nosaka galvenos sadarbības principus attiecībā uz DTSO funkciju vienotā diennakts sasaistē (starprobežu netiešā, pastāvīgā diennakts tirdzniecība, kas tiks ieviesta ES valstīs un elektriski savienotās valstīs saskaņā ar līgumu, turpmāk – „vienotā diennakts sasaite”) un nosaka noteikumus, saskaņā ar kuriem Puses:</w:t>
      </w:r>
    </w:p>
    <w:p w14:paraId="14AA95F8" w14:textId="77777777" w:rsidR="00732060" w:rsidRPr="00CB4A63" w:rsidRDefault="00732060" w:rsidP="00384080">
      <w:pPr>
        <w:pStyle w:val="Sarakstarindkopa"/>
        <w:numPr>
          <w:ilvl w:val="1"/>
          <w:numId w:val="69"/>
        </w:numPr>
        <w:spacing w:before="120" w:after="0"/>
        <w:jc w:val="both"/>
      </w:pPr>
      <w:r>
        <w:t xml:space="preserve">projektē, testē un pieprasa DTSO funkcijas IT līdzekļu izmaiņas; </w:t>
      </w:r>
    </w:p>
    <w:p w14:paraId="6F480A55" w14:textId="77777777" w:rsidR="00732060" w:rsidRPr="00CB4A63" w:rsidRDefault="00732060" w:rsidP="00384080">
      <w:pPr>
        <w:pStyle w:val="Sarakstarindkopa"/>
        <w:numPr>
          <w:ilvl w:val="1"/>
          <w:numId w:val="69"/>
        </w:numPr>
        <w:spacing w:before="120" w:after="0"/>
        <w:jc w:val="both"/>
      </w:pPr>
      <w:r>
        <w:t>izpilda DTSO funkciju;</w:t>
      </w:r>
    </w:p>
    <w:p w14:paraId="39C14468" w14:textId="77777777" w:rsidR="00732060" w:rsidRPr="00CB4A63" w:rsidRDefault="00732060" w:rsidP="00631AD5">
      <w:pPr>
        <w:pStyle w:val="Sarakstarindkopa"/>
        <w:numPr>
          <w:ilvl w:val="1"/>
          <w:numId w:val="69"/>
        </w:numPr>
        <w:spacing w:before="120" w:after="0"/>
        <w:jc w:val="both"/>
      </w:pPr>
      <w:r>
        <w:t>savieno savas tirdzniecības sistēmas ar diennakts sistēmu.</w:t>
      </w:r>
    </w:p>
    <w:p w14:paraId="466A286A" w14:textId="77777777" w:rsidR="00732060" w:rsidRPr="00CB4A63" w:rsidRDefault="00732060" w:rsidP="00384080">
      <w:pPr>
        <w:pStyle w:val="Sarakstarindkopa"/>
        <w:numPr>
          <w:ilvl w:val="0"/>
          <w:numId w:val="72"/>
        </w:numPr>
        <w:spacing w:before="120" w:after="0"/>
        <w:jc w:val="both"/>
      </w:pPr>
      <w:r>
        <w:t>Lai kļūtu par NETO DDL pusi, jāizvirza NETO un jāparaksta VNSL.</w:t>
      </w:r>
    </w:p>
    <w:p w14:paraId="719D5427" w14:textId="77777777" w:rsidR="00732060" w:rsidRPr="00CB4A63" w:rsidRDefault="00732060" w:rsidP="00384080">
      <w:pPr>
        <w:pStyle w:val="Sarakstarindkopa"/>
        <w:numPr>
          <w:ilvl w:val="0"/>
          <w:numId w:val="72"/>
        </w:numPr>
        <w:spacing w:before="120" w:after="0"/>
        <w:jc w:val="both"/>
      </w:pPr>
      <w:r>
        <w:t>NETO DDL regulē arī NETO attiecības:</w:t>
      </w:r>
    </w:p>
    <w:p w14:paraId="3BB260B7" w14:textId="77777777" w:rsidR="00732060" w:rsidRPr="00CB4A63" w:rsidRDefault="00732060" w:rsidP="00384080">
      <w:pPr>
        <w:pStyle w:val="Sarakstarindkopa"/>
        <w:numPr>
          <w:ilvl w:val="1"/>
          <w:numId w:val="69"/>
        </w:numPr>
        <w:spacing w:before="120" w:after="0"/>
        <w:jc w:val="both"/>
      </w:pPr>
      <w:r>
        <w:t xml:space="preserve">ar kopīgajiem pakalpojumu nodrošinātājiem; </w:t>
      </w:r>
    </w:p>
    <w:p w14:paraId="453532C2" w14:textId="77777777" w:rsidR="00732060" w:rsidRPr="00CB4A63" w:rsidRDefault="00732060" w:rsidP="00631AD5">
      <w:pPr>
        <w:pStyle w:val="Sarakstarindkopa"/>
        <w:numPr>
          <w:ilvl w:val="1"/>
          <w:numId w:val="69"/>
        </w:numPr>
        <w:spacing w:before="120" w:after="0"/>
        <w:jc w:val="both"/>
      </w:pPr>
      <w:r>
        <w:t>ar diennakts risinājuma PSO.</w:t>
      </w:r>
    </w:p>
    <w:p w14:paraId="24E913FF" w14:textId="77777777" w:rsidR="00732060" w:rsidRPr="00CB4A63" w:rsidRDefault="00732060" w:rsidP="00732060">
      <w:pPr>
        <w:pStyle w:val="Sarakstarindkopa"/>
        <w:spacing w:before="120" w:after="0" w:line="240" w:lineRule="auto"/>
        <w:ind w:left="360"/>
        <w:jc w:val="both"/>
        <w:rPr>
          <w:rFonts w:ascii="Verdana" w:eastAsia="Times New Roman" w:hAnsi="Verdana" w:cs="Times New Roman"/>
          <w:b/>
          <w:sz w:val="19"/>
          <w:szCs w:val="19"/>
        </w:rPr>
      </w:pPr>
    </w:p>
    <w:p w14:paraId="1CB0D71C" w14:textId="77777777" w:rsidR="00732060" w:rsidRPr="00CB4A63" w:rsidRDefault="00732060" w:rsidP="00384080">
      <w:pPr>
        <w:pStyle w:val="Sarakstarindkopa"/>
        <w:numPr>
          <w:ilvl w:val="0"/>
          <w:numId w:val="70"/>
        </w:numPr>
        <w:spacing w:before="120" w:after="0" w:line="240" w:lineRule="auto"/>
        <w:jc w:val="both"/>
        <w:rPr>
          <w:rFonts w:eastAsia="Times New Roman" w:cs="Times New Roman"/>
          <w:b/>
        </w:rPr>
      </w:pPr>
      <w:r>
        <w:rPr>
          <w:b/>
        </w:rPr>
        <w:t xml:space="preserve">Vispārējie principi </w:t>
      </w:r>
    </w:p>
    <w:p w14:paraId="47390CDC" w14:textId="77777777" w:rsidR="00732060" w:rsidRPr="00CB4A63" w:rsidRDefault="00732060" w:rsidP="00732060">
      <w:pPr>
        <w:pStyle w:val="Sarakstarindkopa"/>
        <w:spacing w:before="120" w:after="0" w:line="240" w:lineRule="auto"/>
        <w:ind w:left="360"/>
        <w:jc w:val="both"/>
        <w:rPr>
          <w:rFonts w:ascii="Verdana" w:eastAsia="Times New Roman" w:hAnsi="Verdana" w:cs="Times New Roman"/>
          <w:b/>
          <w:sz w:val="19"/>
          <w:szCs w:val="19"/>
        </w:rPr>
      </w:pPr>
    </w:p>
    <w:p w14:paraId="72AF3CE5" w14:textId="77777777" w:rsidR="00732060" w:rsidRPr="00CB4A63" w:rsidRDefault="00732060" w:rsidP="00384080">
      <w:pPr>
        <w:pStyle w:val="Sarakstarindkopa"/>
        <w:numPr>
          <w:ilvl w:val="0"/>
          <w:numId w:val="72"/>
        </w:numPr>
        <w:spacing w:before="120" w:after="0"/>
        <w:jc w:val="both"/>
      </w:pPr>
      <w:r>
        <w:t xml:space="preserve">NETO DDL ir atvērts visiem izvirzītajiem NETO, kas parakstījuši VNSL. </w:t>
      </w:r>
    </w:p>
    <w:p w14:paraId="47C00963" w14:textId="77777777" w:rsidR="00732060" w:rsidRPr="00CB4A63" w:rsidRDefault="00732060" w:rsidP="00384080">
      <w:pPr>
        <w:pStyle w:val="Sarakstarindkopa"/>
        <w:numPr>
          <w:ilvl w:val="0"/>
          <w:numId w:val="72"/>
        </w:numPr>
        <w:spacing w:before="120" w:after="0"/>
        <w:jc w:val="both"/>
      </w:pPr>
      <w:r>
        <w:t>Vienlīdzīga attieksme tirgus dalībnieku, NETO, PSO un to tiešo dalībnieku starpā.</w:t>
      </w:r>
    </w:p>
    <w:p w14:paraId="2D34FFE5" w14:textId="77777777" w:rsidR="00732060" w:rsidRPr="00CB4A63" w:rsidRDefault="00732060" w:rsidP="00384080">
      <w:pPr>
        <w:pStyle w:val="Sarakstarindkopa"/>
        <w:numPr>
          <w:ilvl w:val="0"/>
          <w:numId w:val="72"/>
        </w:numPr>
        <w:spacing w:before="120" w:after="0"/>
        <w:jc w:val="both"/>
      </w:pPr>
      <w:r>
        <w:t>Visas NETO DDL puses noslēdz attiecīgos pakalpojumu līgumus ar kopīgajiem pakalpojumu nodrošinātājiem.</w:t>
      </w:r>
    </w:p>
    <w:p w14:paraId="6549C15E" w14:textId="77777777" w:rsidR="00732060" w:rsidRPr="00CB4A63" w:rsidRDefault="00732060" w:rsidP="00384080">
      <w:pPr>
        <w:pStyle w:val="Sarakstarindkopa"/>
        <w:numPr>
          <w:ilvl w:val="0"/>
          <w:numId w:val="71"/>
        </w:numPr>
        <w:spacing w:before="120" w:after="0"/>
        <w:jc w:val="both"/>
      </w:pPr>
      <w:r>
        <w:t>Puses vienojas izvērtēt NETO DDL darbību vismaz reizi gadā.</w:t>
      </w:r>
    </w:p>
    <w:p w14:paraId="598C106F" w14:textId="77777777" w:rsidR="00732060" w:rsidRPr="00CB4A63" w:rsidRDefault="00732060" w:rsidP="00732060">
      <w:pPr>
        <w:pStyle w:val="Sarakstarindkopa"/>
        <w:spacing w:before="120" w:after="0"/>
        <w:ind w:left="360"/>
        <w:jc w:val="both"/>
      </w:pPr>
    </w:p>
    <w:p w14:paraId="6D5F51A1" w14:textId="77777777" w:rsidR="00732060" w:rsidRPr="00CB4A63" w:rsidRDefault="00732060" w:rsidP="00384080">
      <w:pPr>
        <w:pStyle w:val="Sarakstarindkopa"/>
        <w:numPr>
          <w:ilvl w:val="0"/>
          <w:numId w:val="70"/>
        </w:numPr>
        <w:spacing w:before="120" w:after="0" w:line="240" w:lineRule="auto"/>
        <w:jc w:val="both"/>
        <w:rPr>
          <w:rFonts w:eastAsia="Times New Roman" w:cs="Times New Roman"/>
          <w:b/>
        </w:rPr>
      </w:pPr>
      <w:r>
        <w:rPr>
          <w:b/>
        </w:rPr>
        <w:t xml:space="preserve">Sadarbība attiecībā uz DTSO funkcijas līdzekļiem un individuālajiem līdzekļiem </w:t>
      </w:r>
    </w:p>
    <w:p w14:paraId="7CCB8F7C" w14:textId="77777777" w:rsidR="00732060" w:rsidRPr="00CB4A63" w:rsidRDefault="00732060" w:rsidP="00732060">
      <w:pPr>
        <w:pStyle w:val="Sarakstarindkopa"/>
        <w:spacing w:before="120" w:after="0" w:line="240" w:lineRule="auto"/>
        <w:jc w:val="both"/>
        <w:rPr>
          <w:rFonts w:ascii="Verdana" w:eastAsia="Times New Roman" w:hAnsi="Verdana" w:cs="Times New Roman"/>
          <w:b/>
          <w:sz w:val="19"/>
          <w:szCs w:val="19"/>
        </w:rPr>
      </w:pPr>
    </w:p>
    <w:p w14:paraId="284C8DF2" w14:textId="77777777" w:rsidR="00732060" w:rsidRPr="00CB4A63" w:rsidRDefault="00732060" w:rsidP="00384080">
      <w:pPr>
        <w:pStyle w:val="Sarakstarindkopa"/>
        <w:numPr>
          <w:ilvl w:val="0"/>
          <w:numId w:val="72"/>
        </w:numPr>
        <w:spacing w:before="120" w:after="0"/>
        <w:jc w:val="both"/>
      </w:pPr>
      <w:r>
        <w:t xml:space="preserve">Puses kopā projektē DTSO funkcijas līdzekļus. Uz visām izmaiņām DTSO funkcijas līdzekļos attiecas izmaiņu kontroles procedūra un attiecīgās komitejas apstiprinājums. </w:t>
      </w:r>
    </w:p>
    <w:p w14:paraId="1BEE472C" w14:textId="77777777" w:rsidR="00732060" w:rsidRPr="00CB4A63" w:rsidRDefault="00732060" w:rsidP="00631AD5">
      <w:pPr>
        <w:pStyle w:val="Sarakstarindkopa"/>
        <w:numPr>
          <w:ilvl w:val="0"/>
          <w:numId w:val="72"/>
        </w:numPr>
        <w:spacing w:before="120" w:after="0"/>
        <w:jc w:val="both"/>
      </w:pPr>
      <w:r>
        <w:t>Lokālās tirdzniecības sistēmas ir definētas kā individuālie līdzekļi. Puse var noslēgt līgumu par konkrētu ar diennakts sistēmu savienotas un diennakts sistēmas piegādātāja izstrādātas tirdzniecības sistēmas funkciju izstrādi, ja:</w:t>
      </w:r>
    </w:p>
    <w:p w14:paraId="1F2D16B0" w14:textId="77777777" w:rsidR="00732060" w:rsidRPr="00CB4A63" w:rsidRDefault="00732060" w:rsidP="00631AD5">
      <w:pPr>
        <w:pStyle w:val="Sarakstarindkopa"/>
        <w:numPr>
          <w:ilvl w:val="1"/>
          <w:numId w:val="72"/>
        </w:numPr>
        <w:spacing w:before="120" w:after="0"/>
        <w:jc w:val="both"/>
      </w:pPr>
      <w:r>
        <w:t xml:space="preserve"> diennakts sistēmas piegādātājs ir uzņēmies attiecīgās saistības, lai garantētu, ka (a) diennakts sistēmas piegādātāja veiktā tiesību piešķiršana nekādā veidā neattur citus NETO no vismaz tādu pašu tiesību gūšanas konkrētajās funkcijās; (b) diennakts sistēmas piegādātāja attieksme pret NETO, kas ir iepirkuši vai vēlas iepirkt ar diennakts sistēmu savienotu un diennakts sistēmas piegādātāja izstrādātu tirdzniecības sistēmu, attiecībā uz iekasētajām izmaksām, kā arī uz visām piešķirtajām tiesībām piemērojamiem noteikumiem un kārtību ir taisnīga un nediskriminējoša;</w:t>
      </w:r>
    </w:p>
    <w:p w14:paraId="1FCC1E27" w14:textId="77777777" w:rsidR="00732060" w:rsidRPr="00CB4A63" w:rsidRDefault="00732060" w:rsidP="00384080">
      <w:pPr>
        <w:pStyle w:val="Sarakstarindkopa"/>
        <w:numPr>
          <w:ilvl w:val="1"/>
          <w:numId w:val="72"/>
        </w:numPr>
        <w:spacing w:before="120" w:after="0"/>
        <w:jc w:val="both"/>
      </w:pPr>
      <w:r>
        <w:t xml:space="preserve">citām pusēm saskaņā ar visu pušu vienošanos tiek garantēta iespēja pārvērst šīs tiesības kopīgā licencē vai kopīgās īpašumtiesībās.  </w:t>
      </w:r>
    </w:p>
    <w:p w14:paraId="74AD8B31" w14:textId="77777777" w:rsidR="00732060" w:rsidRPr="00CB4A63" w:rsidRDefault="00732060" w:rsidP="00384080">
      <w:pPr>
        <w:pStyle w:val="Sarakstarindkopa"/>
        <w:numPr>
          <w:ilvl w:val="0"/>
          <w:numId w:val="72"/>
        </w:numPr>
        <w:spacing w:before="120" w:after="0"/>
        <w:jc w:val="both"/>
      </w:pPr>
      <w:r>
        <w:t>Izmaksas, kas radušās saistībā ar DTSO funkcijas līdzekļu projektēšanu, izstrādi, testēšanu, ieviešanu un uzturēšanu, apstiprina attiecīgā komiteja.</w:t>
      </w:r>
    </w:p>
    <w:p w14:paraId="40C1CC83" w14:textId="77777777" w:rsidR="00732060" w:rsidRPr="00CB4A63" w:rsidRDefault="00732060" w:rsidP="00384080">
      <w:pPr>
        <w:pStyle w:val="Sarakstarindkopa"/>
        <w:numPr>
          <w:ilvl w:val="0"/>
          <w:numId w:val="72"/>
        </w:numPr>
        <w:spacing w:before="120" w:after="0"/>
        <w:jc w:val="both"/>
      </w:pPr>
      <w:r>
        <w:t>DTSO funkcijas sistēmas tiek ievadītas ekspluatācijā tikai pēc testēšanas un simulācijas apstiprināšanas kritēriju izpildes.</w:t>
      </w:r>
    </w:p>
    <w:p w14:paraId="65CFA537" w14:textId="77777777" w:rsidR="00732060" w:rsidRPr="00CB4A63" w:rsidRDefault="00732060" w:rsidP="00732060">
      <w:pPr>
        <w:pStyle w:val="Sarakstarindkopa"/>
        <w:spacing w:before="120" w:after="0"/>
        <w:ind w:left="360"/>
        <w:jc w:val="both"/>
      </w:pPr>
    </w:p>
    <w:p w14:paraId="6A0210D6" w14:textId="77777777" w:rsidR="00732060" w:rsidRPr="00CB4A63" w:rsidRDefault="00732060" w:rsidP="00631AD5">
      <w:pPr>
        <w:pStyle w:val="Sarakstarindkopa"/>
        <w:numPr>
          <w:ilvl w:val="0"/>
          <w:numId w:val="70"/>
        </w:numPr>
        <w:spacing w:before="120" w:after="0" w:line="240" w:lineRule="auto"/>
        <w:jc w:val="both"/>
        <w:rPr>
          <w:rFonts w:eastAsia="Times New Roman" w:cs="Times New Roman"/>
          <w:b/>
        </w:rPr>
      </w:pPr>
      <w:r>
        <w:rPr>
          <w:b/>
        </w:rPr>
        <w:t xml:space="preserve">Pastāvīga diennakts sistēmas darbība </w:t>
      </w:r>
    </w:p>
    <w:p w14:paraId="6C4CC41F" w14:textId="77777777" w:rsidR="00732060" w:rsidRPr="00CB4A63" w:rsidRDefault="00732060" w:rsidP="00384080">
      <w:pPr>
        <w:pStyle w:val="Sarakstarindkopa"/>
        <w:numPr>
          <w:ilvl w:val="0"/>
          <w:numId w:val="72"/>
        </w:numPr>
        <w:spacing w:before="120" w:after="0"/>
        <w:jc w:val="both"/>
      </w:pPr>
      <w:r>
        <w:t>Līgums ietver vismaz detalizētas procedūras šādiem mērķiem:</w:t>
      </w:r>
    </w:p>
    <w:p w14:paraId="580CC60E" w14:textId="77777777" w:rsidR="00732060" w:rsidRPr="00CB4A63" w:rsidRDefault="00732060" w:rsidP="00631AD5">
      <w:pPr>
        <w:pStyle w:val="Sarakstarindkopa"/>
        <w:numPr>
          <w:ilvl w:val="1"/>
          <w:numId w:val="72"/>
        </w:numPr>
        <w:spacing w:before="120" w:after="0"/>
        <w:jc w:val="both"/>
      </w:pPr>
      <w:r>
        <w:t>Diennakts sistēmas apturēšanai un restartēšanai, tostarp savienošanai ar lokālajiem tirdzniecības risinājumiem;</w:t>
      </w:r>
    </w:p>
    <w:p w14:paraId="7D16FD65" w14:textId="77777777" w:rsidR="00732060" w:rsidRPr="00CB4A63" w:rsidRDefault="00732060" w:rsidP="00631AD5">
      <w:pPr>
        <w:pStyle w:val="Sarakstarindkopa"/>
        <w:numPr>
          <w:ilvl w:val="1"/>
          <w:numId w:val="72"/>
        </w:numPr>
        <w:spacing w:before="120" w:after="0"/>
        <w:jc w:val="both"/>
      </w:pPr>
      <w:r>
        <w:t>starpgadījumu komitejai (kas ietver funkcionējošos NETO un diennakts sistēmas piegādātāju).</w:t>
      </w:r>
    </w:p>
    <w:p w14:paraId="7604049F" w14:textId="77777777" w:rsidR="00732060" w:rsidRPr="00CB4A63" w:rsidRDefault="00732060" w:rsidP="00732060">
      <w:pPr>
        <w:pStyle w:val="Sarakstarindkopa"/>
        <w:spacing w:before="120" w:after="0"/>
        <w:jc w:val="both"/>
      </w:pPr>
    </w:p>
    <w:p w14:paraId="13324E90" w14:textId="77777777" w:rsidR="00732060" w:rsidRPr="00CB4A63" w:rsidRDefault="00732060" w:rsidP="00C03143">
      <w:pPr>
        <w:pStyle w:val="Sarakstarindkopa"/>
        <w:numPr>
          <w:ilvl w:val="0"/>
          <w:numId w:val="70"/>
        </w:numPr>
        <w:spacing w:before="120" w:after="0" w:line="240" w:lineRule="auto"/>
        <w:jc w:val="both"/>
        <w:rPr>
          <w:rFonts w:eastAsia="Times New Roman" w:cs="Times New Roman"/>
          <w:b/>
          <w:sz w:val="19"/>
          <w:szCs w:val="19"/>
        </w:rPr>
      </w:pPr>
      <w:r>
        <w:rPr>
          <w:b/>
        </w:rPr>
        <w:t xml:space="preserve">Pievienošanās </w:t>
      </w:r>
    </w:p>
    <w:p w14:paraId="0BFC951A" w14:textId="77777777" w:rsidR="00732060" w:rsidRPr="00CB4A63" w:rsidRDefault="00732060" w:rsidP="00174B30">
      <w:pPr>
        <w:pStyle w:val="Sarakstarindkopa"/>
        <w:numPr>
          <w:ilvl w:val="0"/>
          <w:numId w:val="73"/>
        </w:numPr>
        <w:spacing w:before="120" w:after="0"/>
        <w:jc w:val="both"/>
      </w:pPr>
      <w:r>
        <w:t xml:space="preserve">Saskaņā ar CACM regulu un atbilstošajiem VPI lēmumiem visiem diennakts tirgum izvirzītajiem un VNSL parakstījušiem NETO ir tiesības pievienoties. </w:t>
      </w:r>
    </w:p>
    <w:p w14:paraId="73F0AF0E" w14:textId="77777777" w:rsidR="00732060" w:rsidRPr="00CB4A63" w:rsidRDefault="00732060" w:rsidP="00732060">
      <w:pPr>
        <w:pStyle w:val="Sarakstarindkopa"/>
        <w:spacing w:before="120" w:after="0"/>
        <w:ind w:left="360"/>
        <w:jc w:val="both"/>
      </w:pPr>
    </w:p>
    <w:p w14:paraId="73789728" w14:textId="77777777" w:rsidR="00732060" w:rsidRPr="00CB4A63" w:rsidRDefault="00732060" w:rsidP="00C03143">
      <w:pPr>
        <w:pStyle w:val="Sarakstarindkopa"/>
        <w:numPr>
          <w:ilvl w:val="0"/>
          <w:numId w:val="70"/>
        </w:numPr>
        <w:spacing w:before="120" w:after="0" w:line="240" w:lineRule="auto"/>
        <w:jc w:val="both"/>
        <w:rPr>
          <w:rFonts w:eastAsia="Times New Roman" w:cs="Times New Roman"/>
          <w:b/>
        </w:rPr>
      </w:pPr>
      <w:r>
        <w:rPr>
          <w:b/>
        </w:rPr>
        <w:t xml:space="preserve">Pārvaldība </w:t>
      </w:r>
    </w:p>
    <w:p w14:paraId="744BC919" w14:textId="77777777" w:rsidR="00732060" w:rsidRPr="00CB4A63" w:rsidRDefault="00732060" w:rsidP="00174B30">
      <w:pPr>
        <w:pStyle w:val="Sarakstarindkopa"/>
        <w:numPr>
          <w:ilvl w:val="0"/>
          <w:numId w:val="75"/>
        </w:numPr>
        <w:spacing w:before="120" w:after="0"/>
        <w:jc w:val="both"/>
      </w:pPr>
      <w:r>
        <w:t xml:space="preserve">Puses izveido pārvaldības struktūru, lai apspriestu un izlemtu visus ar līgumu saistītos jautājumus. Izmaiņas līgumā pēc apstiprinājuma, pieņemot vienprātīgu lēmumu, drīkst veikt tikai pušu tiesiskie pārstāvji.  </w:t>
      </w:r>
    </w:p>
    <w:p w14:paraId="1A6EAFC2" w14:textId="77777777" w:rsidR="00732060" w:rsidRPr="00CB4A63" w:rsidRDefault="00732060" w:rsidP="00174B30">
      <w:pPr>
        <w:pStyle w:val="Sarakstarindkopa"/>
        <w:numPr>
          <w:ilvl w:val="0"/>
          <w:numId w:val="75"/>
        </w:numPr>
        <w:spacing w:before="120" w:after="0"/>
        <w:jc w:val="both"/>
      </w:pPr>
      <w:r>
        <w:t xml:space="preserve">Lēmumi tiks pieņemti vienprātīgi. Ja noteiktos jautājumos netiks panākta vienošanās, paredzama pāradresācijas procedūra visu NETO procedūrai. </w:t>
      </w:r>
    </w:p>
    <w:p w14:paraId="235959B4" w14:textId="77777777" w:rsidR="00732060" w:rsidRPr="00CB4A63" w:rsidRDefault="00732060" w:rsidP="00732060">
      <w:pPr>
        <w:pStyle w:val="Sarakstarindkopa"/>
        <w:spacing w:before="120" w:after="0"/>
        <w:ind w:left="360"/>
        <w:jc w:val="both"/>
      </w:pPr>
    </w:p>
    <w:p w14:paraId="35D31905" w14:textId="77777777" w:rsidR="00732060" w:rsidRPr="00CB4A63" w:rsidRDefault="00732060" w:rsidP="00C03143">
      <w:pPr>
        <w:pStyle w:val="Sarakstarindkopa"/>
        <w:numPr>
          <w:ilvl w:val="0"/>
          <w:numId w:val="70"/>
        </w:numPr>
        <w:spacing w:before="120" w:after="0" w:line="240" w:lineRule="auto"/>
        <w:jc w:val="both"/>
        <w:rPr>
          <w:rFonts w:eastAsia="Times New Roman" w:cs="Times New Roman"/>
          <w:b/>
        </w:rPr>
      </w:pPr>
      <w:r>
        <w:rPr>
          <w:b/>
        </w:rPr>
        <w:t>Konfidencialitāte un saziņa ar trešajām pusēm</w:t>
      </w:r>
    </w:p>
    <w:p w14:paraId="7E73AB5B" w14:textId="77777777" w:rsidR="00732060" w:rsidRPr="00CB4A63" w:rsidRDefault="00732060" w:rsidP="00174B30">
      <w:pPr>
        <w:pStyle w:val="Sarakstarindkopa"/>
        <w:numPr>
          <w:ilvl w:val="0"/>
          <w:numId w:val="76"/>
        </w:numPr>
        <w:spacing w:before="120" w:after="0"/>
        <w:jc w:val="both"/>
      </w:pPr>
      <w:r>
        <w:t>Visa informācija, kas paziņota saskaņā ar šo līgumu (tostarp pušu tirgus dati) ir konfidenciāla, ja vien nav norādīts citādi. Tirgus dati, ko NETO snieguši DTSO funkcijai, tirgus cenas un saskaņotie pasūtījumi paliek ekskluzīvs informāciju sniegušā NETO īpašums (vai kā citādi noteikts saskaņā ar valsts tiesisko regulējumu).</w:t>
      </w:r>
    </w:p>
    <w:p w14:paraId="3681BA65" w14:textId="77777777" w:rsidR="00732060" w:rsidRPr="00CB4A63" w:rsidRDefault="00732060" w:rsidP="00174B30">
      <w:pPr>
        <w:pStyle w:val="Sarakstarindkopa"/>
        <w:numPr>
          <w:ilvl w:val="0"/>
          <w:numId w:val="76"/>
        </w:numPr>
        <w:spacing w:before="120" w:after="0"/>
        <w:jc w:val="both"/>
      </w:pPr>
      <w:r>
        <w:t>NETO nav tiesību piekļūt citu NETO tirgus datiem vai analizēt tos, izņemot tikai darbības vai snieguma pārvaldības vai izstrādes nolūkā, ja tas tiek veikts vadības komitejas ietvaros kā kopīgi kontrolēta procesa daļa attiecīgās komitejas ietvaros.</w:t>
      </w:r>
    </w:p>
    <w:p w14:paraId="29D883BE" w14:textId="77777777" w:rsidR="00732060" w:rsidRPr="00CB4A63" w:rsidRDefault="00732060" w:rsidP="00174B30">
      <w:pPr>
        <w:pStyle w:val="Sarakstarindkopa"/>
        <w:numPr>
          <w:ilvl w:val="0"/>
          <w:numId w:val="76"/>
        </w:numPr>
        <w:spacing w:before="120" w:after="0"/>
        <w:jc w:val="both"/>
      </w:pPr>
      <w:r>
        <w:t>Ievērojot konfidencialitāti, puses drīkst brīvi, savā vārdā rakstveidā vai mutvārdos izteikt savu nostāju vai viedokli par visiem ar DDL saistītajiem jautājumiem, ja tie nekaitē vai negatīvi neietekmē citu pušu kopīgās un/vai individuālās intereses vai reputāciju.</w:t>
      </w:r>
    </w:p>
    <w:p w14:paraId="7242DBB3" w14:textId="1CEE7B92" w:rsidR="00732060" w:rsidRPr="00CB4A63" w:rsidRDefault="00732060" w:rsidP="00174B30">
      <w:pPr>
        <w:pStyle w:val="Sarakstarindkopa"/>
        <w:numPr>
          <w:ilvl w:val="0"/>
          <w:numId w:val="76"/>
        </w:numPr>
        <w:spacing w:before="120" w:after="0"/>
        <w:jc w:val="both"/>
      </w:pPr>
      <w:r>
        <w:t>Par ziņošanu pēc starpgadījuma NETO kopīgi vienojas koordinētā saskaņošanā. Tomēr katra puse atbild par savu pasūtījumu reģistru, tāpēc tā var pēc saviem ieskatiem ziņot saviem klientiem, ja šī ziņošana nekaitē kopīgi pieņemtajai nostājai un tiek veikta, pēc iespējas ievērojot kopīgi pieņemtos ziņošanas principus.</w:t>
      </w:r>
    </w:p>
    <w:p w14:paraId="09F34D67" w14:textId="77777777" w:rsidR="00732060" w:rsidRPr="00CB4A63" w:rsidRDefault="00732060" w:rsidP="00732060">
      <w:pPr>
        <w:spacing w:before="120" w:after="0" w:line="240" w:lineRule="auto"/>
        <w:rPr>
          <w:rFonts w:ascii="Times New Roman" w:eastAsia="Times New Roman" w:hAnsi="Times New Roman" w:cs="Times New Roman"/>
          <w:sz w:val="24"/>
          <w:szCs w:val="24"/>
        </w:rPr>
      </w:pPr>
    </w:p>
    <w:p w14:paraId="55ED2722" w14:textId="77777777" w:rsidR="00732060" w:rsidRPr="00CB4A63" w:rsidRDefault="00732060" w:rsidP="00C03143">
      <w:pPr>
        <w:pStyle w:val="Sarakstarindkopa"/>
        <w:numPr>
          <w:ilvl w:val="0"/>
          <w:numId w:val="70"/>
        </w:numPr>
        <w:spacing w:before="120" w:after="0" w:line="240" w:lineRule="auto"/>
        <w:jc w:val="both"/>
        <w:rPr>
          <w:rFonts w:eastAsia="Times New Roman" w:cs="Times New Roman"/>
          <w:b/>
        </w:rPr>
      </w:pPr>
      <w:r>
        <w:rPr>
          <w:b/>
        </w:rPr>
        <w:t>Atbildība</w:t>
      </w:r>
    </w:p>
    <w:p w14:paraId="06031E78" w14:textId="77777777" w:rsidR="00732060" w:rsidRPr="00CB4A63" w:rsidRDefault="00732060" w:rsidP="00174B30">
      <w:pPr>
        <w:pStyle w:val="Sarakstarindkopa"/>
        <w:numPr>
          <w:ilvl w:val="0"/>
          <w:numId w:val="77"/>
        </w:numPr>
        <w:spacing w:before="120" w:after="0"/>
        <w:jc w:val="both"/>
      </w:pPr>
      <w:r>
        <w:t>Nav kopējas un individuālas atbildības.</w:t>
      </w:r>
    </w:p>
    <w:p w14:paraId="40B49046" w14:textId="77777777" w:rsidR="00732060" w:rsidRPr="00CB4A63" w:rsidRDefault="00732060" w:rsidP="00174B30">
      <w:pPr>
        <w:pStyle w:val="Sarakstarindkopa"/>
        <w:numPr>
          <w:ilvl w:val="0"/>
          <w:numId w:val="77"/>
        </w:numPr>
        <w:spacing w:before="120" w:after="0"/>
        <w:jc w:val="both"/>
      </w:pPr>
      <w:r>
        <w:t>Netīši, netieši vai izrietoši zaudējumi nav ietverti.</w:t>
      </w:r>
    </w:p>
    <w:p w14:paraId="6A0FAD7C" w14:textId="77777777" w:rsidR="00732060" w:rsidRPr="00CB4A63" w:rsidRDefault="00732060" w:rsidP="00174B30">
      <w:pPr>
        <w:pStyle w:val="Sarakstarindkopa"/>
        <w:numPr>
          <w:ilvl w:val="0"/>
          <w:numId w:val="77"/>
        </w:numPr>
        <w:spacing w:before="120" w:after="0"/>
        <w:jc w:val="both"/>
      </w:pPr>
      <w:r>
        <w:t xml:space="preserve">Kopējā puses atlīdzināšanas pienākums ir ierobežots ar noteiktiem izņēmumiem saistībā ar trešo pušu pretenzijām, piemēram, kopīgo pakalpojumu nodrošinātāju izvirzītajām pretenzijām. </w:t>
      </w:r>
    </w:p>
    <w:p w14:paraId="767F6900" w14:textId="77777777" w:rsidR="00732060" w:rsidRPr="00CB4A63" w:rsidRDefault="00732060" w:rsidP="00732060">
      <w:pPr>
        <w:pStyle w:val="Sarakstarindkopa"/>
        <w:spacing w:before="120" w:after="0"/>
        <w:ind w:left="360"/>
        <w:jc w:val="both"/>
      </w:pPr>
    </w:p>
    <w:p w14:paraId="10EC27FA" w14:textId="77777777" w:rsidR="00732060" w:rsidRPr="00CB4A63" w:rsidRDefault="00732060" w:rsidP="00C03143">
      <w:pPr>
        <w:pStyle w:val="Sarakstarindkopa"/>
        <w:numPr>
          <w:ilvl w:val="0"/>
          <w:numId w:val="70"/>
        </w:numPr>
        <w:spacing w:before="120" w:after="0" w:line="240" w:lineRule="auto"/>
        <w:jc w:val="both"/>
        <w:rPr>
          <w:rFonts w:eastAsia="Times New Roman" w:cs="Times New Roman"/>
          <w:b/>
        </w:rPr>
      </w:pPr>
      <w:r>
        <w:rPr>
          <w:b/>
        </w:rPr>
        <w:t>Stāšanās spēkā, termiņš un izbeigšana</w:t>
      </w:r>
    </w:p>
    <w:p w14:paraId="4EC668C7" w14:textId="77777777" w:rsidR="00732060" w:rsidRPr="00CB4A63" w:rsidRDefault="00732060" w:rsidP="00174B30">
      <w:pPr>
        <w:pStyle w:val="Sarakstarindkopa"/>
        <w:numPr>
          <w:ilvl w:val="0"/>
          <w:numId w:val="78"/>
        </w:numPr>
        <w:spacing w:before="120" w:after="0"/>
        <w:jc w:val="both"/>
      </w:pPr>
      <w:r>
        <w:t>Līgums stājas spēkā, kad to uz nenoteiktu laiku parakstījušas visas puses.</w:t>
      </w:r>
    </w:p>
    <w:p w14:paraId="2CAE74A8" w14:textId="77777777" w:rsidR="00732060" w:rsidRPr="00CB4A63" w:rsidRDefault="00732060" w:rsidP="00174B30">
      <w:pPr>
        <w:pStyle w:val="Sarakstarindkopa"/>
        <w:numPr>
          <w:ilvl w:val="0"/>
          <w:numId w:val="78"/>
        </w:numPr>
        <w:spacing w:before="120" w:after="0"/>
        <w:jc w:val="both"/>
      </w:pPr>
      <w:r>
        <w:t>Pilnīga līguma izbeigšana ir iespējama, tikai savstarpēji vienojoties.</w:t>
      </w:r>
    </w:p>
    <w:p w14:paraId="3BBE2D1E" w14:textId="77777777" w:rsidR="00732060" w:rsidRPr="00CB4A63" w:rsidRDefault="00732060" w:rsidP="00174B30">
      <w:pPr>
        <w:pStyle w:val="Sarakstarindkopa"/>
        <w:numPr>
          <w:ilvl w:val="0"/>
          <w:numId w:val="78"/>
        </w:numPr>
        <w:spacing w:before="120" w:after="0"/>
        <w:jc w:val="both"/>
      </w:pPr>
      <w:r>
        <w:t>Puse var izbeigt līgumu šādos apstākļos:</w:t>
      </w:r>
    </w:p>
    <w:p w14:paraId="09D5BACF" w14:textId="77777777" w:rsidR="00732060" w:rsidRPr="00CB4A63" w:rsidRDefault="00732060" w:rsidP="00174B30">
      <w:pPr>
        <w:pStyle w:val="Sarakstarindkopa"/>
        <w:numPr>
          <w:ilvl w:val="1"/>
          <w:numId w:val="79"/>
        </w:numPr>
        <w:spacing w:before="120" w:after="0"/>
        <w:jc w:val="both"/>
      </w:pPr>
      <w:r>
        <w:rPr>
          <w:rFonts w:ascii="Calibri" w:hAnsi="Calibri"/>
        </w:rPr>
        <w:t>brīdinot par to 8 mēnešus iepriekš, bez pienākuma</w:t>
      </w:r>
      <w:r>
        <w:t xml:space="preserve"> norādīt jebkādu pamatojumu;</w:t>
      </w:r>
    </w:p>
    <w:p w14:paraId="676C41AE" w14:textId="77777777" w:rsidR="00732060" w:rsidRPr="00CB4A63" w:rsidRDefault="00732060" w:rsidP="00174B30">
      <w:pPr>
        <w:pStyle w:val="Sarakstarindkopa"/>
        <w:numPr>
          <w:ilvl w:val="1"/>
          <w:numId w:val="79"/>
        </w:numPr>
        <w:spacing w:before="120" w:after="0"/>
        <w:jc w:val="both"/>
      </w:pPr>
      <w:r>
        <w:rPr>
          <w:rFonts w:ascii="Calibri" w:hAnsi="Calibri"/>
        </w:rPr>
        <w:lastRenderedPageBreak/>
        <w:t xml:space="preserve">brīdinot par to 6 mēnešus iepriekš, ja neizdodas panākt vienošanos, pamatojot izmaiņas </w:t>
      </w:r>
      <w:r>
        <w:t>ar reglamentējošiem iemesliem.</w:t>
      </w:r>
    </w:p>
    <w:p w14:paraId="3F20B00A" w14:textId="77777777" w:rsidR="00732060" w:rsidRPr="00CB4A63" w:rsidRDefault="00732060" w:rsidP="00174B30">
      <w:pPr>
        <w:pStyle w:val="Sarakstarindkopa"/>
        <w:numPr>
          <w:ilvl w:val="0"/>
          <w:numId w:val="78"/>
        </w:numPr>
        <w:spacing w:before="120" w:after="0"/>
        <w:jc w:val="both"/>
      </w:pPr>
      <w:r>
        <w:t>Puses var izbeigt šo līgumu ar kādu pusi:</w:t>
      </w:r>
    </w:p>
    <w:p w14:paraId="640E44D3" w14:textId="2801F00C" w:rsidR="00732060" w:rsidRPr="00CB4A63" w:rsidRDefault="00732060" w:rsidP="00174B30">
      <w:pPr>
        <w:pStyle w:val="Sarakstarindkopa"/>
        <w:numPr>
          <w:ilvl w:val="1"/>
          <w:numId w:val="79"/>
        </w:numPr>
        <w:spacing w:before="120" w:after="0"/>
        <w:jc w:val="both"/>
      </w:pPr>
      <w:r>
        <w:t>šīs puses bankrota, būtisku šī līguma pārkāpuma un izrietošās noteikumu neievērošanas, uzņēmējdarbības izbeigšanas u. c. gadījumā;</w:t>
      </w:r>
    </w:p>
    <w:p w14:paraId="127340A6" w14:textId="491993AB" w:rsidR="00732060" w:rsidRPr="00CB4A63" w:rsidRDefault="00732060" w:rsidP="00174B30">
      <w:pPr>
        <w:pStyle w:val="Sarakstarindkopa"/>
        <w:numPr>
          <w:ilvl w:val="1"/>
          <w:numId w:val="79"/>
        </w:numPr>
        <w:spacing w:before="120" w:after="0"/>
        <w:jc w:val="both"/>
      </w:pPr>
      <w:r>
        <w:t>ja puse vairs nav diennakts tirgum izvirzīts NETO.</w:t>
      </w:r>
    </w:p>
    <w:p w14:paraId="6A83ECA8" w14:textId="77777777" w:rsidR="00732060" w:rsidRPr="00CB4A63" w:rsidRDefault="00732060" w:rsidP="00174B30">
      <w:pPr>
        <w:pStyle w:val="Sarakstarindkopa"/>
        <w:numPr>
          <w:ilvl w:val="0"/>
          <w:numId w:val="80"/>
        </w:numPr>
        <w:spacing w:before="120" w:after="0"/>
        <w:jc w:val="both"/>
      </w:pPr>
      <w:r>
        <w:t>Līgumu izbeigušajai pusei jādara viss iespējamais, lai mazinātu izbeigšanas radītos zaudējumus, jāpalīdz un jāsadarbojas pasākumos nepārtrauktības nodrošināšanai palikušajām pusēm.</w:t>
      </w:r>
    </w:p>
    <w:p w14:paraId="621AC664" w14:textId="77777777" w:rsidR="00732060" w:rsidRPr="00CB4A63" w:rsidRDefault="00732060" w:rsidP="00732060">
      <w:pPr>
        <w:pStyle w:val="Sarakstarindkopa"/>
        <w:spacing w:before="120" w:after="0"/>
        <w:ind w:left="360"/>
        <w:jc w:val="both"/>
      </w:pPr>
    </w:p>
    <w:p w14:paraId="3839D09B" w14:textId="77777777" w:rsidR="00732060" w:rsidRPr="00CB4A63" w:rsidRDefault="00732060" w:rsidP="00C03143">
      <w:pPr>
        <w:pStyle w:val="Sarakstarindkopa"/>
        <w:numPr>
          <w:ilvl w:val="0"/>
          <w:numId w:val="70"/>
        </w:numPr>
        <w:spacing w:before="120" w:after="0" w:line="240" w:lineRule="auto"/>
        <w:jc w:val="both"/>
        <w:rPr>
          <w:rFonts w:eastAsia="Times New Roman" w:cs="Times New Roman"/>
          <w:b/>
        </w:rPr>
      </w:pPr>
      <w:r>
        <w:rPr>
          <w:b/>
        </w:rPr>
        <w:t>Reglamentējošie tiesību akti un strīdu izšķiršana</w:t>
      </w:r>
    </w:p>
    <w:p w14:paraId="1D04A1D4" w14:textId="77777777" w:rsidR="00732060" w:rsidRPr="00CB4A63" w:rsidRDefault="00732060" w:rsidP="00174B30">
      <w:pPr>
        <w:pStyle w:val="Sarakstarindkopa"/>
        <w:numPr>
          <w:ilvl w:val="0"/>
          <w:numId w:val="81"/>
        </w:numPr>
        <w:spacing w:before="120" w:after="0"/>
        <w:jc w:val="both"/>
      </w:pPr>
      <w:r>
        <w:t>Reglamentējošie tiesību akti: Beļģijas tiesību akti</w:t>
      </w:r>
    </w:p>
    <w:p w14:paraId="55C0FB7C" w14:textId="77777777" w:rsidR="00732060" w:rsidRPr="00CB4A63" w:rsidRDefault="00732060" w:rsidP="00174B30">
      <w:pPr>
        <w:pStyle w:val="Sarakstarindkopa"/>
        <w:numPr>
          <w:ilvl w:val="0"/>
          <w:numId w:val="81"/>
        </w:numPr>
        <w:spacing w:before="120" w:after="0"/>
        <w:jc w:val="both"/>
      </w:pPr>
      <w:r>
        <w:t xml:space="preserve">Līgumisko strīdu gadījumā tiks izveidots strīdu izšķiršanas process.  </w:t>
      </w:r>
    </w:p>
    <w:p w14:paraId="677CAA19" w14:textId="77777777" w:rsidR="00732060" w:rsidRPr="00CB4A63" w:rsidRDefault="00732060" w:rsidP="00174B30">
      <w:pPr>
        <w:pStyle w:val="Sarakstarindkopa"/>
        <w:numPr>
          <w:ilvl w:val="0"/>
          <w:numId w:val="81"/>
        </w:numPr>
        <w:spacing w:before="120" w:after="0"/>
        <w:jc w:val="both"/>
      </w:pPr>
      <w:r>
        <w:t>Noteikti jautājumi tiks pāradresēti visu NETO komitejai.</w:t>
      </w:r>
    </w:p>
    <w:p w14:paraId="34966A0F" w14:textId="77777777" w:rsidR="00D47CF9" w:rsidRPr="00CB4A63" w:rsidRDefault="00D47CF9" w:rsidP="008715A6">
      <w:pPr>
        <w:spacing w:after="160" w:line="259" w:lineRule="auto"/>
      </w:pPr>
    </w:p>
    <w:p w14:paraId="47C7ED3D" w14:textId="6C98F35A" w:rsidR="00216D83" w:rsidRPr="00CB4A63" w:rsidRDefault="003061D9" w:rsidP="00216D83">
      <w:pPr>
        <w:pStyle w:val="Virsraksts2"/>
        <w:numPr>
          <w:ilvl w:val="1"/>
          <w:numId w:val="28"/>
        </w:numPr>
        <w:ind w:left="567"/>
        <w:rPr>
          <w:rFonts w:eastAsia="Times New Roman"/>
        </w:rPr>
      </w:pPr>
      <w:r>
        <w:br w:type="page"/>
      </w:r>
      <w:bookmarkStart w:id="171" w:name="_Toc469430399"/>
      <w:bookmarkStart w:id="172" w:name="_Toc479786244"/>
      <w:bookmarkStart w:id="173" w:name="_Toc484770723"/>
      <w:r>
        <w:lastRenderedPageBreak/>
        <w:t>NETO sadarbības līguma kopsavilkums – EBSL</w:t>
      </w:r>
      <w:bookmarkEnd w:id="171"/>
      <w:bookmarkEnd w:id="172"/>
      <w:bookmarkEnd w:id="173"/>
    </w:p>
    <w:p w14:paraId="5BE50D2F" w14:textId="77777777" w:rsidR="00216D83" w:rsidRPr="00CB4A63" w:rsidRDefault="00216D83" w:rsidP="00216D83">
      <w:pPr>
        <w:spacing w:after="160" w:line="256" w:lineRule="auto"/>
        <w:jc w:val="center"/>
      </w:pPr>
    </w:p>
    <w:tbl>
      <w:tblPr>
        <w:tblStyle w:val="Reatabula"/>
        <w:tblW w:w="9606" w:type="dxa"/>
        <w:tblLook w:val="04A0" w:firstRow="1" w:lastRow="0" w:firstColumn="1" w:lastColumn="0" w:noHBand="0" w:noVBand="1"/>
      </w:tblPr>
      <w:tblGrid>
        <w:gridCol w:w="3070"/>
        <w:gridCol w:w="6536"/>
      </w:tblGrid>
      <w:tr w:rsidR="00216D83" w:rsidRPr="00CB4A63" w14:paraId="4E54A01A" w14:textId="77777777" w:rsidTr="00216D83">
        <w:tc>
          <w:tcPr>
            <w:tcW w:w="960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D379D9C" w14:textId="77777777" w:rsidR="00216D83" w:rsidRPr="00CB4A63" w:rsidRDefault="00216D83">
            <w:pPr>
              <w:spacing w:after="0" w:line="240" w:lineRule="auto"/>
              <w:jc w:val="center"/>
              <w:rPr>
                <w:rFonts w:ascii="Arial" w:hAnsi="Arial" w:cs="Arial"/>
                <w:b/>
                <w:color w:val="FFFFFF" w:themeColor="background1"/>
              </w:rPr>
            </w:pPr>
          </w:p>
          <w:p w14:paraId="59A66C32" w14:textId="77777777" w:rsidR="00216D83" w:rsidRPr="00CB4A63" w:rsidRDefault="00216D83">
            <w:pPr>
              <w:spacing w:after="0" w:line="240" w:lineRule="auto"/>
              <w:jc w:val="center"/>
              <w:rPr>
                <w:rFonts w:ascii="Arial" w:hAnsi="Arial" w:cs="Arial"/>
                <w:b/>
                <w:color w:val="FFFFFF" w:themeColor="background1"/>
              </w:rPr>
            </w:pPr>
            <w:r>
              <w:rPr>
                <w:rFonts w:ascii="Arial" w:hAnsi="Arial"/>
                <w:b/>
                <w:color w:val="FFFFFF" w:themeColor="background1"/>
              </w:rPr>
              <w:t xml:space="preserve">Līguma noteikumi </w:t>
            </w:r>
          </w:p>
          <w:p w14:paraId="6091A430" w14:textId="77777777" w:rsidR="00216D83" w:rsidRPr="00CB4A63" w:rsidRDefault="00216D83">
            <w:pPr>
              <w:spacing w:after="0" w:line="240" w:lineRule="auto"/>
              <w:jc w:val="center"/>
              <w:rPr>
                <w:rFonts w:ascii="Arial" w:hAnsi="Arial" w:cs="Arial"/>
                <w:b/>
                <w:color w:val="FFFFFF" w:themeColor="background1"/>
              </w:rPr>
            </w:pPr>
          </w:p>
        </w:tc>
      </w:tr>
      <w:tr w:rsidR="00216D83" w:rsidRPr="00CB4A63" w14:paraId="6C526DB4" w14:textId="77777777" w:rsidTr="00216D83">
        <w:tc>
          <w:tcPr>
            <w:tcW w:w="3070" w:type="dxa"/>
            <w:tcBorders>
              <w:top w:val="single" w:sz="4" w:space="0" w:color="auto"/>
              <w:left w:val="single" w:sz="4" w:space="0" w:color="auto"/>
              <w:bottom w:val="single" w:sz="4" w:space="0" w:color="auto"/>
              <w:right w:val="single" w:sz="4" w:space="0" w:color="auto"/>
            </w:tcBorders>
          </w:tcPr>
          <w:p w14:paraId="1F8ED70B" w14:textId="77777777" w:rsidR="00216D83" w:rsidRPr="00CB4A63" w:rsidRDefault="00216D83">
            <w:pPr>
              <w:spacing w:after="0" w:line="240" w:lineRule="auto"/>
              <w:jc w:val="center"/>
              <w:rPr>
                <w:rFonts w:ascii="Arial" w:hAnsi="Arial" w:cs="Arial"/>
                <w:b/>
              </w:rPr>
            </w:pPr>
          </w:p>
          <w:p w14:paraId="45DC936B" w14:textId="5BC8F9F3" w:rsidR="00216D83" w:rsidRPr="00CB4A63" w:rsidRDefault="002426C4">
            <w:pPr>
              <w:spacing w:after="0" w:line="240" w:lineRule="auto"/>
              <w:jc w:val="center"/>
              <w:rPr>
                <w:rFonts w:ascii="Arial" w:hAnsi="Arial" w:cs="Arial"/>
                <w:b/>
              </w:rPr>
            </w:pPr>
            <w:r>
              <w:rPr>
                <w:rFonts w:ascii="Arial" w:hAnsi="Arial"/>
                <w:b/>
              </w:rPr>
              <w:t>Priekšmets</w:t>
            </w:r>
          </w:p>
        </w:tc>
        <w:tc>
          <w:tcPr>
            <w:tcW w:w="6536" w:type="dxa"/>
            <w:tcBorders>
              <w:top w:val="single" w:sz="4" w:space="0" w:color="auto"/>
              <w:left w:val="single" w:sz="4" w:space="0" w:color="auto"/>
              <w:bottom w:val="single" w:sz="4" w:space="0" w:color="auto"/>
              <w:right w:val="single" w:sz="4" w:space="0" w:color="auto"/>
            </w:tcBorders>
          </w:tcPr>
          <w:p w14:paraId="3A104238" w14:textId="77777777" w:rsidR="00216D83" w:rsidRPr="00CB4A63" w:rsidRDefault="00216D83">
            <w:pPr>
              <w:spacing w:after="0" w:line="240" w:lineRule="auto"/>
              <w:jc w:val="center"/>
              <w:rPr>
                <w:rFonts w:ascii="Arial" w:hAnsi="Arial" w:cs="Arial"/>
              </w:rPr>
            </w:pPr>
          </w:p>
          <w:p w14:paraId="62FAF258" w14:textId="77777777" w:rsidR="002426C4" w:rsidRPr="00CB4A63" w:rsidRDefault="002426C4" w:rsidP="002426C4">
            <w:pPr>
              <w:spacing w:after="0" w:line="240" w:lineRule="auto"/>
              <w:rPr>
                <w:rFonts w:ascii="Arial" w:hAnsi="Arial" w:cs="Arial"/>
                <w:i/>
              </w:rPr>
            </w:pPr>
            <w:r>
              <w:rPr>
                <w:rFonts w:ascii="Arial" w:hAnsi="Arial"/>
                <w:i/>
              </w:rPr>
              <w:t>Paredzēt sadarbības noteikumus turpmākai diennakts risinājuma projektēšanai, izstrādei, ieviešanai un darbībai saskaņā ar diennakts modeli.</w:t>
            </w:r>
          </w:p>
          <w:p w14:paraId="1CC929B9" w14:textId="3A30042F" w:rsidR="00216D83" w:rsidRPr="00CB4A63" w:rsidRDefault="00216D83">
            <w:pPr>
              <w:spacing w:after="0" w:line="240" w:lineRule="auto"/>
              <w:rPr>
                <w:rFonts w:ascii="Arial" w:hAnsi="Arial" w:cs="Arial"/>
              </w:rPr>
            </w:pPr>
          </w:p>
        </w:tc>
      </w:tr>
      <w:tr w:rsidR="00216D83" w:rsidRPr="00CB4A63" w14:paraId="4B46DB24" w14:textId="77777777" w:rsidTr="00216D83">
        <w:tc>
          <w:tcPr>
            <w:tcW w:w="3070" w:type="dxa"/>
            <w:tcBorders>
              <w:top w:val="single" w:sz="4" w:space="0" w:color="auto"/>
              <w:left w:val="single" w:sz="4" w:space="0" w:color="auto"/>
              <w:bottom w:val="single" w:sz="4" w:space="0" w:color="auto"/>
              <w:right w:val="single" w:sz="4" w:space="0" w:color="auto"/>
            </w:tcBorders>
          </w:tcPr>
          <w:p w14:paraId="6F891380" w14:textId="77777777" w:rsidR="00606235" w:rsidRPr="00CB4A63" w:rsidRDefault="00606235">
            <w:pPr>
              <w:spacing w:after="0" w:line="240" w:lineRule="auto"/>
              <w:jc w:val="center"/>
              <w:rPr>
                <w:rFonts w:ascii="Arial" w:hAnsi="Arial" w:cs="Arial"/>
                <w:b/>
              </w:rPr>
            </w:pPr>
          </w:p>
          <w:p w14:paraId="73418D8F" w14:textId="31499941" w:rsidR="00216D83" w:rsidRPr="00CB4A63" w:rsidRDefault="00606235">
            <w:pPr>
              <w:spacing w:after="0" w:line="240" w:lineRule="auto"/>
              <w:jc w:val="center"/>
              <w:rPr>
                <w:rFonts w:ascii="Arial" w:hAnsi="Arial" w:cs="Arial"/>
                <w:b/>
              </w:rPr>
            </w:pPr>
            <w:r>
              <w:rPr>
                <w:rFonts w:ascii="Arial" w:hAnsi="Arial"/>
                <w:b/>
              </w:rPr>
              <w:t>Puses</w:t>
            </w:r>
          </w:p>
          <w:p w14:paraId="456A9F1B" w14:textId="3199C5AF" w:rsidR="00606235" w:rsidRPr="00CB4A63" w:rsidRDefault="00606235">
            <w:pPr>
              <w:spacing w:after="0" w:line="240" w:lineRule="auto"/>
              <w:jc w:val="center"/>
              <w:rPr>
                <w:rFonts w:ascii="Arial" w:hAnsi="Arial" w:cs="Arial"/>
                <w:b/>
              </w:rPr>
            </w:pPr>
          </w:p>
        </w:tc>
        <w:tc>
          <w:tcPr>
            <w:tcW w:w="6536" w:type="dxa"/>
            <w:tcBorders>
              <w:top w:val="single" w:sz="4" w:space="0" w:color="auto"/>
              <w:left w:val="single" w:sz="4" w:space="0" w:color="auto"/>
              <w:bottom w:val="single" w:sz="4" w:space="0" w:color="auto"/>
              <w:right w:val="single" w:sz="4" w:space="0" w:color="auto"/>
            </w:tcBorders>
          </w:tcPr>
          <w:p w14:paraId="1011774F" w14:textId="77777777" w:rsidR="00216D83" w:rsidRPr="00CB4A63" w:rsidRDefault="00216D83">
            <w:pPr>
              <w:spacing w:after="0" w:line="240" w:lineRule="auto"/>
              <w:jc w:val="center"/>
              <w:rPr>
                <w:rFonts w:ascii="Arial" w:hAnsi="Arial" w:cs="Arial"/>
                <w:i/>
              </w:rPr>
            </w:pPr>
          </w:p>
          <w:p w14:paraId="2666A7FA" w14:textId="1BABE4F3" w:rsidR="00606235" w:rsidRPr="00CB4A63" w:rsidRDefault="00606235" w:rsidP="00606235">
            <w:pPr>
              <w:spacing w:after="0" w:line="240" w:lineRule="auto"/>
              <w:rPr>
                <w:rFonts w:ascii="Arial" w:hAnsi="Arial" w:cs="Arial"/>
                <w:i/>
              </w:rPr>
            </w:pPr>
            <w:r>
              <w:rPr>
                <w:rFonts w:ascii="Arial" w:hAnsi="Arial"/>
                <w:i/>
              </w:rPr>
              <w:t>D izraudzītie NETO</w:t>
            </w:r>
          </w:p>
        </w:tc>
      </w:tr>
      <w:tr w:rsidR="0063101E" w:rsidRPr="00CB4A63" w14:paraId="5676EC1A" w14:textId="77777777" w:rsidTr="00216D83">
        <w:tc>
          <w:tcPr>
            <w:tcW w:w="3070" w:type="dxa"/>
            <w:tcBorders>
              <w:top w:val="single" w:sz="4" w:space="0" w:color="auto"/>
              <w:left w:val="single" w:sz="4" w:space="0" w:color="auto"/>
              <w:bottom w:val="single" w:sz="4" w:space="0" w:color="auto"/>
              <w:right w:val="single" w:sz="4" w:space="0" w:color="auto"/>
            </w:tcBorders>
          </w:tcPr>
          <w:p w14:paraId="314787E1" w14:textId="77777777" w:rsidR="0063101E" w:rsidRPr="00CB4A63" w:rsidRDefault="0063101E" w:rsidP="0063101E">
            <w:pPr>
              <w:spacing w:after="0" w:line="240" w:lineRule="auto"/>
              <w:jc w:val="center"/>
              <w:rPr>
                <w:rFonts w:ascii="Arial" w:hAnsi="Arial" w:cs="Arial"/>
                <w:b/>
              </w:rPr>
            </w:pPr>
          </w:p>
          <w:p w14:paraId="20349563" w14:textId="4F736F1F" w:rsidR="0063101E" w:rsidRPr="00CB4A63" w:rsidRDefault="0063101E" w:rsidP="0063101E">
            <w:pPr>
              <w:spacing w:after="0" w:line="240" w:lineRule="auto"/>
              <w:jc w:val="center"/>
              <w:rPr>
                <w:rFonts w:ascii="Arial" w:hAnsi="Arial" w:cs="Arial"/>
                <w:b/>
              </w:rPr>
            </w:pPr>
            <w:r>
              <w:rPr>
                <w:rFonts w:ascii="Arial" w:hAnsi="Arial"/>
                <w:b/>
              </w:rPr>
              <w:t>Darbības joma</w:t>
            </w:r>
          </w:p>
        </w:tc>
        <w:tc>
          <w:tcPr>
            <w:tcW w:w="6536" w:type="dxa"/>
            <w:tcBorders>
              <w:top w:val="single" w:sz="4" w:space="0" w:color="auto"/>
              <w:left w:val="single" w:sz="4" w:space="0" w:color="auto"/>
              <w:bottom w:val="single" w:sz="4" w:space="0" w:color="auto"/>
              <w:right w:val="single" w:sz="4" w:space="0" w:color="auto"/>
            </w:tcBorders>
          </w:tcPr>
          <w:p w14:paraId="7EEC93F2" w14:textId="77777777" w:rsidR="0063101E" w:rsidRPr="00CB4A63" w:rsidRDefault="0063101E" w:rsidP="0063101E">
            <w:pPr>
              <w:pStyle w:val="Sarakstarindkopa"/>
              <w:spacing w:after="0" w:line="240" w:lineRule="auto"/>
              <w:rPr>
                <w:rFonts w:ascii="Arial" w:hAnsi="Arial" w:cs="Arial"/>
              </w:rPr>
            </w:pPr>
          </w:p>
          <w:p w14:paraId="54F4B801" w14:textId="77777777" w:rsidR="0063101E" w:rsidRPr="00CB4A63" w:rsidRDefault="0063101E" w:rsidP="0063101E">
            <w:pPr>
              <w:spacing w:after="0" w:line="240" w:lineRule="auto"/>
              <w:rPr>
                <w:rFonts w:ascii="Arial" w:hAnsi="Arial" w:cs="Arial"/>
              </w:rPr>
            </w:pPr>
            <w:r>
              <w:rPr>
                <w:rFonts w:ascii="Arial" w:hAnsi="Arial"/>
              </w:rPr>
              <w:t>Puses apņemas:</w:t>
            </w:r>
          </w:p>
          <w:p w14:paraId="4B43D967" w14:textId="3044B0DE" w:rsidR="0063101E" w:rsidRPr="00CB4A63" w:rsidRDefault="0063101E" w:rsidP="0063101E">
            <w:pPr>
              <w:pStyle w:val="Sarakstarindkopa"/>
              <w:numPr>
                <w:ilvl w:val="1"/>
                <w:numId w:val="82"/>
              </w:numPr>
              <w:spacing w:after="0" w:line="240" w:lineRule="auto"/>
              <w:ind w:left="932"/>
              <w:rPr>
                <w:rFonts w:ascii="Arial" w:hAnsi="Arial" w:cs="Arial"/>
              </w:rPr>
            </w:pPr>
            <w:r>
              <w:rPr>
                <w:rFonts w:ascii="Arial" w:hAnsi="Arial"/>
              </w:rPr>
              <w:t xml:space="preserve">kopīgi vadīt, noteikt prioritātes un pārvaldīt kopīgo komponentu projektēšanu un izstrādi un pušu darbību saskaņā ar diennakts risinājumu; </w:t>
            </w:r>
          </w:p>
          <w:p w14:paraId="04F8127F" w14:textId="18A8B52E" w:rsidR="0063101E" w:rsidRPr="00CB4A63" w:rsidRDefault="0063101E" w:rsidP="0063101E">
            <w:pPr>
              <w:pStyle w:val="Sarakstarindkopa"/>
              <w:numPr>
                <w:ilvl w:val="1"/>
                <w:numId w:val="82"/>
              </w:numPr>
              <w:spacing w:after="0" w:line="240" w:lineRule="auto"/>
              <w:ind w:left="932"/>
              <w:rPr>
                <w:rFonts w:ascii="Arial" w:hAnsi="Arial" w:cs="Arial"/>
              </w:rPr>
            </w:pPr>
            <w:r>
              <w:rPr>
                <w:rFonts w:ascii="Arial" w:hAnsi="Arial"/>
              </w:rPr>
              <w:t>nodrošināt kopīgo komponentu izstrādi, ieviešanu, darbību un uzturēšanu saskaņā ar diennakts risinājumu;</w:t>
            </w:r>
          </w:p>
          <w:p w14:paraId="4E0E05F0" w14:textId="77777777" w:rsidR="0063101E" w:rsidRPr="00CB4A63" w:rsidRDefault="0063101E" w:rsidP="0063101E">
            <w:pPr>
              <w:pStyle w:val="Sarakstarindkopa"/>
              <w:numPr>
                <w:ilvl w:val="1"/>
                <w:numId w:val="82"/>
              </w:numPr>
              <w:spacing w:after="0" w:line="240" w:lineRule="auto"/>
              <w:ind w:left="932"/>
              <w:rPr>
                <w:rFonts w:ascii="Arial" w:hAnsi="Arial" w:cs="Arial"/>
              </w:rPr>
            </w:pPr>
            <w:r>
              <w:rPr>
                <w:rFonts w:ascii="Arial" w:hAnsi="Arial"/>
              </w:rPr>
              <w:t>sadarboties, lai sasaistītu savus diennakts pastāvīgos tirgus saskaņā ar diennakts modeli un diennakts risinājumu.</w:t>
            </w:r>
          </w:p>
          <w:p w14:paraId="52E5D706" w14:textId="3F7030D4" w:rsidR="0063101E" w:rsidRPr="00CB4A63" w:rsidRDefault="0063101E" w:rsidP="0063101E">
            <w:pPr>
              <w:pStyle w:val="Sarakstarindkopa"/>
              <w:spacing w:after="0" w:line="240" w:lineRule="auto"/>
              <w:ind w:left="932"/>
              <w:rPr>
                <w:rFonts w:ascii="Arial" w:hAnsi="Arial" w:cs="Arial"/>
              </w:rPr>
            </w:pPr>
          </w:p>
        </w:tc>
      </w:tr>
    </w:tbl>
    <w:p w14:paraId="096F8749" w14:textId="67D3EA14" w:rsidR="003061D9" w:rsidRPr="00CB4A63" w:rsidRDefault="003061D9">
      <w:pPr>
        <w:spacing w:after="160" w:line="259" w:lineRule="auto"/>
        <w:rPr>
          <w:rFonts w:asciiTheme="majorHAnsi" w:eastAsia="Times New Roman" w:hAnsiTheme="majorHAnsi" w:cstheme="majorBidi"/>
          <w:b/>
          <w:bCs/>
          <w:color w:val="5B9BD5" w:themeColor="accent1"/>
          <w:sz w:val="26"/>
          <w:szCs w:val="26"/>
        </w:rPr>
      </w:pPr>
    </w:p>
    <w:p w14:paraId="16A5BA16" w14:textId="012C699E" w:rsidR="003061D9" w:rsidRPr="00CB4A63" w:rsidRDefault="003061D9">
      <w:pPr>
        <w:spacing w:after="160" w:line="259" w:lineRule="auto"/>
        <w:rPr>
          <w:rFonts w:asciiTheme="majorHAnsi" w:eastAsia="Times New Roman" w:hAnsiTheme="majorHAnsi" w:cstheme="majorBidi"/>
          <w:b/>
          <w:bCs/>
          <w:color w:val="5B9BD5" w:themeColor="accent1"/>
          <w:sz w:val="26"/>
          <w:szCs w:val="26"/>
        </w:rPr>
      </w:pPr>
    </w:p>
    <w:p w14:paraId="1FDC89D9" w14:textId="73A78A9D" w:rsidR="00606235" w:rsidRPr="00CB4A63" w:rsidRDefault="00606235">
      <w:pPr>
        <w:spacing w:after="160" w:line="259" w:lineRule="auto"/>
        <w:rPr>
          <w:rFonts w:asciiTheme="majorHAnsi" w:eastAsia="Times New Roman" w:hAnsiTheme="majorHAnsi" w:cstheme="majorBidi"/>
          <w:b/>
          <w:bCs/>
          <w:color w:val="5B9BD5" w:themeColor="accent1"/>
          <w:sz w:val="26"/>
          <w:szCs w:val="26"/>
        </w:rPr>
      </w:pPr>
    </w:p>
    <w:p w14:paraId="7D7DAC3B" w14:textId="77D1501A" w:rsidR="00606235" w:rsidRPr="00CB4A63" w:rsidRDefault="00606235">
      <w:pPr>
        <w:spacing w:after="160" w:line="259" w:lineRule="auto"/>
        <w:rPr>
          <w:rFonts w:asciiTheme="majorHAnsi" w:eastAsia="Times New Roman" w:hAnsiTheme="majorHAnsi" w:cstheme="majorBidi"/>
          <w:b/>
          <w:bCs/>
          <w:color w:val="5B9BD5" w:themeColor="accent1"/>
          <w:sz w:val="26"/>
          <w:szCs w:val="26"/>
        </w:rPr>
      </w:pPr>
    </w:p>
    <w:p w14:paraId="33FAE829" w14:textId="21867D9A" w:rsidR="00606235" w:rsidRPr="00CB4A63" w:rsidRDefault="00606235">
      <w:pPr>
        <w:spacing w:after="160" w:line="259" w:lineRule="auto"/>
        <w:rPr>
          <w:rFonts w:asciiTheme="majorHAnsi" w:eastAsia="Times New Roman" w:hAnsiTheme="majorHAnsi" w:cstheme="majorBidi"/>
          <w:b/>
          <w:bCs/>
          <w:color w:val="5B9BD5" w:themeColor="accent1"/>
          <w:sz w:val="26"/>
          <w:szCs w:val="26"/>
        </w:rPr>
      </w:pPr>
    </w:p>
    <w:p w14:paraId="3F8D3A03" w14:textId="71D801F2" w:rsidR="00606235" w:rsidRPr="00CB4A63" w:rsidRDefault="00606235">
      <w:pPr>
        <w:spacing w:after="160" w:line="259" w:lineRule="auto"/>
        <w:rPr>
          <w:rFonts w:asciiTheme="majorHAnsi" w:eastAsia="Times New Roman" w:hAnsiTheme="majorHAnsi" w:cstheme="majorBidi"/>
          <w:b/>
          <w:bCs/>
          <w:color w:val="5B9BD5" w:themeColor="accent1"/>
          <w:sz w:val="26"/>
          <w:szCs w:val="26"/>
        </w:rPr>
      </w:pPr>
    </w:p>
    <w:p w14:paraId="06CFA4DE" w14:textId="001CB2DE" w:rsidR="00606235" w:rsidRPr="00CB4A63" w:rsidRDefault="00606235">
      <w:pPr>
        <w:spacing w:after="160" w:line="259" w:lineRule="auto"/>
        <w:rPr>
          <w:rFonts w:asciiTheme="majorHAnsi" w:eastAsia="Times New Roman" w:hAnsiTheme="majorHAnsi" w:cstheme="majorBidi"/>
          <w:b/>
          <w:bCs/>
          <w:color w:val="5B9BD5" w:themeColor="accent1"/>
          <w:sz w:val="26"/>
          <w:szCs w:val="26"/>
        </w:rPr>
      </w:pPr>
    </w:p>
    <w:p w14:paraId="68069516" w14:textId="0BFC0C30" w:rsidR="00606235" w:rsidRPr="00CB4A63" w:rsidRDefault="00606235">
      <w:pPr>
        <w:spacing w:after="160" w:line="259" w:lineRule="auto"/>
        <w:rPr>
          <w:rFonts w:asciiTheme="majorHAnsi" w:eastAsia="Times New Roman" w:hAnsiTheme="majorHAnsi" w:cstheme="majorBidi"/>
          <w:b/>
          <w:bCs/>
          <w:color w:val="5B9BD5" w:themeColor="accent1"/>
          <w:sz w:val="26"/>
          <w:szCs w:val="26"/>
        </w:rPr>
      </w:pPr>
    </w:p>
    <w:p w14:paraId="5F6C470E" w14:textId="77F46390" w:rsidR="00606235" w:rsidRPr="00CB4A63" w:rsidRDefault="00606235">
      <w:pPr>
        <w:spacing w:after="160" w:line="259" w:lineRule="auto"/>
        <w:rPr>
          <w:rFonts w:asciiTheme="majorHAnsi" w:eastAsia="Times New Roman" w:hAnsiTheme="majorHAnsi" w:cstheme="majorBidi"/>
          <w:b/>
          <w:bCs/>
          <w:color w:val="5B9BD5" w:themeColor="accent1"/>
          <w:sz w:val="26"/>
          <w:szCs w:val="26"/>
        </w:rPr>
      </w:pPr>
    </w:p>
    <w:p w14:paraId="759C9208" w14:textId="75B8E2C2" w:rsidR="00606235" w:rsidRPr="00CB4A63" w:rsidRDefault="00606235">
      <w:pPr>
        <w:spacing w:after="160" w:line="259" w:lineRule="auto"/>
        <w:rPr>
          <w:rFonts w:asciiTheme="majorHAnsi" w:eastAsia="Times New Roman" w:hAnsiTheme="majorHAnsi" w:cstheme="majorBidi"/>
          <w:b/>
          <w:bCs/>
          <w:color w:val="5B9BD5" w:themeColor="accent1"/>
          <w:sz w:val="26"/>
          <w:szCs w:val="26"/>
        </w:rPr>
      </w:pPr>
    </w:p>
    <w:p w14:paraId="50E01500" w14:textId="5F4BEA22" w:rsidR="00606235" w:rsidRPr="00CB4A63" w:rsidRDefault="00606235">
      <w:pPr>
        <w:spacing w:after="160" w:line="259" w:lineRule="auto"/>
        <w:rPr>
          <w:rFonts w:asciiTheme="majorHAnsi" w:eastAsia="Times New Roman" w:hAnsiTheme="majorHAnsi" w:cstheme="majorBidi"/>
          <w:b/>
          <w:bCs/>
          <w:color w:val="5B9BD5" w:themeColor="accent1"/>
          <w:sz w:val="26"/>
          <w:szCs w:val="26"/>
        </w:rPr>
      </w:pPr>
    </w:p>
    <w:p w14:paraId="7E61FF47" w14:textId="31614D57" w:rsidR="00606235" w:rsidRPr="00CB4A63" w:rsidRDefault="00606235">
      <w:pPr>
        <w:spacing w:after="160" w:line="259" w:lineRule="auto"/>
        <w:rPr>
          <w:rFonts w:asciiTheme="majorHAnsi" w:eastAsia="Times New Roman" w:hAnsiTheme="majorHAnsi" w:cstheme="majorBidi"/>
          <w:b/>
          <w:bCs/>
          <w:color w:val="5B9BD5" w:themeColor="accent1"/>
          <w:sz w:val="26"/>
          <w:szCs w:val="26"/>
        </w:rPr>
      </w:pPr>
    </w:p>
    <w:p w14:paraId="7CE0D699" w14:textId="67504E2F" w:rsidR="00B06A4A" w:rsidRDefault="00B06A4A">
      <w:pPr>
        <w:spacing w:after="160" w:line="259" w:lineRule="auto"/>
        <w:rPr>
          <w:rFonts w:asciiTheme="majorHAnsi" w:eastAsia="Times New Roman" w:hAnsiTheme="majorHAnsi" w:cstheme="majorBidi"/>
          <w:b/>
          <w:bCs/>
          <w:color w:val="5B9BD5" w:themeColor="accent1"/>
          <w:sz w:val="26"/>
          <w:szCs w:val="26"/>
        </w:rPr>
      </w:pPr>
      <w:r>
        <w:rPr>
          <w:rFonts w:asciiTheme="majorHAnsi" w:eastAsia="Times New Roman" w:hAnsiTheme="majorHAnsi" w:cstheme="majorBidi"/>
          <w:b/>
          <w:bCs/>
          <w:color w:val="5B9BD5" w:themeColor="accent1"/>
          <w:sz w:val="26"/>
          <w:szCs w:val="26"/>
        </w:rPr>
        <w:br w:type="page"/>
      </w:r>
    </w:p>
    <w:p w14:paraId="6EE0AB2A" w14:textId="6B92C048" w:rsidR="000B5E7A" w:rsidRPr="00CB4A63" w:rsidRDefault="000B5E7A" w:rsidP="0055309C">
      <w:pPr>
        <w:pStyle w:val="Virsraksts2"/>
        <w:ind w:left="567"/>
        <w:rPr>
          <w:rFonts w:eastAsia="Times New Roman"/>
        </w:rPr>
      </w:pPr>
      <w:bookmarkStart w:id="174" w:name="_Toc479786245"/>
      <w:bookmarkStart w:id="175" w:name="_Toc484770724"/>
      <w:r>
        <w:lastRenderedPageBreak/>
        <w:t>Līguma ar DTSO funkcijas pakalpojumu nodrošinātāju – D sistēmas piegādātāju –kopsavilkums</w:t>
      </w:r>
      <w:bookmarkEnd w:id="174"/>
      <w:bookmarkEnd w:id="175"/>
    </w:p>
    <w:p w14:paraId="3C136DE8" w14:textId="77777777" w:rsidR="00D47CF9" w:rsidRPr="00CB4A63" w:rsidRDefault="00D47CF9" w:rsidP="00B55F18">
      <w:pPr>
        <w:spacing w:after="160" w:line="259" w:lineRule="auto"/>
        <w:jc w:val="center"/>
      </w:pPr>
    </w:p>
    <w:tbl>
      <w:tblPr>
        <w:tblStyle w:val="TableGrid3"/>
        <w:tblW w:w="9606" w:type="dxa"/>
        <w:tblLook w:val="04A0" w:firstRow="1" w:lastRow="0" w:firstColumn="1" w:lastColumn="0" w:noHBand="0" w:noVBand="1"/>
      </w:tblPr>
      <w:tblGrid>
        <w:gridCol w:w="3070"/>
        <w:gridCol w:w="6536"/>
      </w:tblGrid>
      <w:tr w:rsidR="000B5E7A" w:rsidRPr="00CB4A63" w14:paraId="49F6B636" w14:textId="77777777" w:rsidTr="000B5E7A">
        <w:tc>
          <w:tcPr>
            <w:tcW w:w="960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506C3CAA" w14:textId="77777777" w:rsidR="000B5E7A" w:rsidRPr="00CB4A63" w:rsidRDefault="000B5E7A" w:rsidP="000B5E7A">
            <w:pPr>
              <w:spacing w:after="0" w:line="240" w:lineRule="auto"/>
              <w:jc w:val="center"/>
              <w:rPr>
                <w:rFonts w:ascii="Arial" w:hAnsi="Arial" w:cs="Arial"/>
                <w:b/>
                <w:color w:val="FFFFFF"/>
              </w:rPr>
            </w:pPr>
          </w:p>
          <w:p w14:paraId="6360285D" w14:textId="77777777" w:rsidR="000B5E7A" w:rsidRPr="00CB4A63" w:rsidRDefault="000B5E7A" w:rsidP="000B5E7A">
            <w:pPr>
              <w:spacing w:after="0" w:line="240" w:lineRule="auto"/>
              <w:jc w:val="center"/>
              <w:rPr>
                <w:rFonts w:cs="Arial"/>
                <w:b/>
                <w:color w:val="FFFFFF"/>
              </w:rPr>
            </w:pPr>
            <w:r>
              <w:rPr>
                <w:b/>
                <w:color w:val="FFFFFF"/>
              </w:rPr>
              <w:t xml:space="preserve">Līguma noteikumi </w:t>
            </w:r>
          </w:p>
          <w:p w14:paraId="7AF9531F" w14:textId="77777777" w:rsidR="000B5E7A" w:rsidRPr="00CB4A63" w:rsidRDefault="000B5E7A" w:rsidP="000B5E7A">
            <w:pPr>
              <w:spacing w:after="0" w:line="240" w:lineRule="auto"/>
              <w:jc w:val="center"/>
              <w:rPr>
                <w:rFonts w:ascii="Arial" w:hAnsi="Arial" w:cs="Arial"/>
                <w:b/>
                <w:color w:val="FFFFFF"/>
              </w:rPr>
            </w:pPr>
          </w:p>
        </w:tc>
      </w:tr>
      <w:tr w:rsidR="000B5E7A" w:rsidRPr="00CB4A63" w14:paraId="03CB6EC6" w14:textId="77777777" w:rsidTr="000B5E7A">
        <w:tc>
          <w:tcPr>
            <w:tcW w:w="3070" w:type="dxa"/>
            <w:tcBorders>
              <w:top w:val="single" w:sz="4" w:space="0" w:color="auto"/>
              <w:left w:val="single" w:sz="4" w:space="0" w:color="auto"/>
              <w:bottom w:val="single" w:sz="4" w:space="0" w:color="auto"/>
              <w:right w:val="single" w:sz="4" w:space="0" w:color="auto"/>
            </w:tcBorders>
            <w:vAlign w:val="center"/>
          </w:tcPr>
          <w:p w14:paraId="18B90977" w14:textId="5012BF82" w:rsidR="000B5E7A" w:rsidRPr="00CB4A63" w:rsidRDefault="002E08AA" w:rsidP="000B5E7A">
            <w:pPr>
              <w:spacing w:after="0" w:line="240" w:lineRule="auto"/>
              <w:jc w:val="center"/>
              <w:rPr>
                <w:rFonts w:ascii="Arial" w:hAnsi="Arial" w:cs="Arial"/>
                <w:b/>
              </w:rPr>
            </w:pPr>
            <w:r>
              <w:rPr>
                <w:rFonts w:ascii="Arial" w:hAnsi="Arial"/>
                <w:b/>
              </w:rPr>
              <w:t>Priekšmets</w:t>
            </w:r>
          </w:p>
        </w:tc>
        <w:tc>
          <w:tcPr>
            <w:tcW w:w="6536" w:type="dxa"/>
            <w:tcBorders>
              <w:top w:val="single" w:sz="4" w:space="0" w:color="auto"/>
              <w:left w:val="single" w:sz="4" w:space="0" w:color="auto"/>
              <w:bottom w:val="single" w:sz="4" w:space="0" w:color="auto"/>
              <w:right w:val="single" w:sz="4" w:space="0" w:color="auto"/>
            </w:tcBorders>
          </w:tcPr>
          <w:p w14:paraId="0DACD786" w14:textId="77777777" w:rsidR="00C648E2" w:rsidRPr="00CB4A63" w:rsidRDefault="00C648E2" w:rsidP="008715A6">
            <w:pPr>
              <w:spacing w:after="0" w:line="240" w:lineRule="auto"/>
              <w:rPr>
                <w:rFonts w:ascii="Arial" w:hAnsi="Arial" w:cs="Arial"/>
              </w:rPr>
            </w:pPr>
          </w:p>
          <w:p w14:paraId="27E05AC9" w14:textId="77777777" w:rsidR="002E08AA" w:rsidRPr="00CB4A63" w:rsidRDefault="002E08AA" w:rsidP="002E08AA">
            <w:pPr>
              <w:spacing w:after="0" w:line="240" w:lineRule="auto"/>
              <w:rPr>
                <w:rFonts w:ascii="Arial" w:hAnsi="Arial" w:cs="Arial"/>
              </w:rPr>
            </w:pPr>
            <w:r>
              <w:rPr>
                <w:rFonts w:ascii="Arial" w:hAnsi="Arial"/>
              </w:rPr>
              <w:t>Līgums nosaka galvenos noteikumus, saskaņā ar kuriem attiecīgā NETO piešķir pakalpojumu sniegšanu D sistēmas piegādātājam.</w:t>
            </w:r>
          </w:p>
          <w:p w14:paraId="3AA5C034" w14:textId="77777777" w:rsidR="00C648E2" w:rsidRPr="00CB4A63" w:rsidRDefault="00C648E2" w:rsidP="002E08AA">
            <w:pPr>
              <w:autoSpaceDE w:val="0"/>
              <w:autoSpaceDN w:val="0"/>
              <w:adjustRightInd w:val="0"/>
              <w:spacing w:before="120" w:after="120" w:line="240" w:lineRule="auto"/>
              <w:ind w:left="720"/>
              <w:contextualSpacing/>
              <w:rPr>
                <w:rFonts w:ascii="Arial" w:hAnsi="Arial" w:cs="Arial"/>
                <w:i/>
                <w:iCs/>
                <w:sz w:val="20"/>
                <w:szCs w:val="20"/>
              </w:rPr>
            </w:pPr>
          </w:p>
        </w:tc>
      </w:tr>
      <w:tr w:rsidR="002E08AA" w:rsidRPr="00CB4A63" w14:paraId="3D7C29A8" w14:textId="77777777" w:rsidTr="000B5E7A">
        <w:tc>
          <w:tcPr>
            <w:tcW w:w="3070" w:type="dxa"/>
            <w:tcBorders>
              <w:top w:val="single" w:sz="4" w:space="0" w:color="auto"/>
              <w:left w:val="single" w:sz="4" w:space="0" w:color="auto"/>
              <w:bottom w:val="single" w:sz="4" w:space="0" w:color="auto"/>
              <w:right w:val="single" w:sz="4" w:space="0" w:color="auto"/>
            </w:tcBorders>
            <w:vAlign w:val="center"/>
          </w:tcPr>
          <w:p w14:paraId="73AF0453" w14:textId="7AF27538" w:rsidR="002E08AA" w:rsidRPr="00CB4A63" w:rsidRDefault="002E08AA" w:rsidP="002E08AA">
            <w:pPr>
              <w:spacing w:after="0" w:line="240" w:lineRule="auto"/>
              <w:jc w:val="center"/>
              <w:rPr>
                <w:rFonts w:ascii="Arial" w:hAnsi="Arial" w:cs="Arial"/>
                <w:b/>
              </w:rPr>
            </w:pPr>
            <w:r>
              <w:rPr>
                <w:rFonts w:ascii="Arial" w:hAnsi="Arial"/>
                <w:b/>
              </w:rPr>
              <w:t>Puses</w:t>
            </w:r>
          </w:p>
        </w:tc>
        <w:tc>
          <w:tcPr>
            <w:tcW w:w="6536" w:type="dxa"/>
            <w:tcBorders>
              <w:top w:val="single" w:sz="4" w:space="0" w:color="auto"/>
              <w:left w:val="single" w:sz="4" w:space="0" w:color="auto"/>
              <w:bottom w:val="single" w:sz="4" w:space="0" w:color="auto"/>
              <w:right w:val="single" w:sz="4" w:space="0" w:color="auto"/>
            </w:tcBorders>
          </w:tcPr>
          <w:p w14:paraId="54075339" w14:textId="77777777" w:rsidR="002E08AA" w:rsidRPr="00CB4A63" w:rsidRDefault="002E08AA" w:rsidP="002E08AA">
            <w:pPr>
              <w:spacing w:before="120" w:after="120" w:line="240" w:lineRule="auto"/>
              <w:jc w:val="both"/>
              <w:rPr>
                <w:rFonts w:ascii="Arial" w:hAnsi="Arial" w:cs="Arial"/>
                <w:noProof/>
                <w:u w:val="single"/>
              </w:rPr>
            </w:pPr>
          </w:p>
          <w:p w14:paraId="4287E10D" w14:textId="13431193" w:rsidR="002E08AA" w:rsidRPr="00CB4A63" w:rsidRDefault="002E08AA" w:rsidP="002E08AA">
            <w:pPr>
              <w:spacing w:before="120" w:after="120" w:line="240" w:lineRule="auto"/>
              <w:jc w:val="both"/>
              <w:rPr>
                <w:rFonts w:ascii="Arial" w:hAnsi="Arial" w:cs="Arial"/>
                <w:noProof/>
              </w:rPr>
            </w:pPr>
            <w:r>
              <w:rPr>
                <w:rFonts w:ascii="Arial" w:hAnsi="Arial"/>
                <w:noProof/>
              </w:rPr>
              <w:t>Visi D izraudzītie NETO un diennakts sistēmu piegādātājs</w:t>
            </w:r>
          </w:p>
          <w:p w14:paraId="1C45D153" w14:textId="77777777" w:rsidR="002E08AA" w:rsidRPr="00CB4A63" w:rsidRDefault="002E08AA" w:rsidP="002E08AA">
            <w:pPr>
              <w:spacing w:after="0" w:line="240" w:lineRule="auto"/>
              <w:rPr>
                <w:rFonts w:ascii="Arial" w:hAnsi="Arial" w:cs="Arial"/>
              </w:rPr>
            </w:pPr>
          </w:p>
        </w:tc>
      </w:tr>
      <w:tr w:rsidR="002E08AA" w:rsidRPr="00CB4A63" w14:paraId="16429B0E" w14:textId="77777777" w:rsidTr="000B5E7A">
        <w:tc>
          <w:tcPr>
            <w:tcW w:w="3070" w:type="dxa"/>
            <w:tcBorders>
              <w:top w:val="single" w:sz="4" w:space="0" w:color="auto"/>
              <w:left w:val="single" w:sz="4" w:space="0" w:color="auto"/>
              <w:bottom w:val="single" w:sz="4" w:space="0" w:color="auto"/>
              <w:right w:val="single" w:sz="4" w:space="0" w:color="auto"/>
            </w:tcBorders>
            <w:vAlign w:val="center"/>
            <w:hideMark/>
          </w:tcPr>
          <w:p w14:paraId="2E655A47" w14:textId="16643B1F" w:rsidR="002E08AA" w:rsidRPr="00CB4A63" w:rsidRDefault="002E08AA" w:rsidP="002E08AA">
            <w:pPr>
              <w:spacing w:after="0" w:line="240" w:lineRule="auto"/>
              <w:jc w:val="center"/>
              <w:rPr>
                <w:rFonts w:ascii="Arial" w:hAnsi="Arial" w:cs="Arial"/>
                <w:b/>
              </w:rPr>
            </w:pPr>
            <w:r>
              <w:rPr>
                <w:rFonts w:ascii="Arial" w:hAnsi="Arial"/>
                <w:b/>
              </w:rPr>
              <w:t>Darbības joma</w:t>
            </w:r>
          </w:p>
        </w:tc>
        <w:tc>
          <w:tcPr>
            <w:tcW w:w="6536" w:type="dxa"/>
            <w:tcBorders>
              <w:top w:val="single" w:sz="4" w:space="0" w:color="auto"/>
              <w:left w:val="single" w:sz="4" w:space="0" w:color="auto"/>
              <w:bottom w:val="single" w:sz="4" w:space="0" w:color="auto"/>
              <w:right w:val="single" w:sz="4" w:space="0" w:color="auto"/>
            </w:tcBorders>
            <w:hideMark/>
          </w:tcPr>
          <w:p w14:paraId="4AF36E96" w14:textId="77777777" w:rsidR="00315960" w:rsidRPr="00CB4A63" w:rsidRDefault="00315960" w:rsidP="002E08AA">
            <w:pPr>
              <w:spacing w:after="0" w:line="240" w:lineRule="auto"/>
              <w:rPr>
                <w:rFonts w:ascii="Arial" w:hAnsi="Arial" w:cs="Arial"/>
              </w:rPr>
            </w:pPr>
          </w:p>
          <w:p w14:paraId="311396A6" w14:textId="56BA7A52" w:rsidR="002E08AA" w:rsidRPr="00CB4A63" w:rsidRDefault="002E08AA" w:rsidP="002E08AA">
            <w:pPr>
              <w:spacing w:after="0" w:line="240" w:lineRule="auto"/>
              <w:rPr>
                <w:rFonts w:ascii="Arial" w:hAnsi="Arial" w:cs="Arial"/>
              </w:rPr>
            </w:pPr>
            <w:r>
              <w:rPr>
                <w:rFonts w:ascii="Arial" w:hAnsi="Arial"/>
              </w:rPr>
              <w:t>Jaudas pārvaldības moduļa, sūtīšanas moduļa un kopīgo pasūtījumu reģistra pakalpojumi:</w:t>
            </w:r>
          </w:p>
          <w:p w14:paraId="57871946" w14:textId="77777777" w:rsidR="002E08AA" w:rsidRPr="00CB4A63" w:rsidRDefault="002E08AA" w:rsidP="002E08AA">
            <w:pPr>
              <w:numPr>
                <w:ilvl w:val="0"/>
                <w:numId w:val="129"/>
              </w:numPr>
              <w:autoSpaceDE w:val="0"/>
              <w:autoSpaceDN w:val="0"/>
              <w:adjustRightInd w:val="0"/>
              <w:spacing w:before="120" w:after="120" w:line="240" w:lineRule="auto"/>
              <w:contextualSpacing/>
              <w:rPr>
                <w:rFonts w:ascii="Arial" w:hAnsi="Arial" w:cs="Arial"/>
                <w:iCs/>
                <w:szCs w:val="20"/>
              </w:rPr>
            </w:pPr>
            <w:r>
              <w:rPr>
                <w:rFonts w:ascii="Arial" w:hAnsi="Arial"/>
              </w:rPr>
              <w:t>izstrāde;</w:t>
            </w:r>
          </w:p>
          <w:p w14:paraId="74E16A65" w14:textId="77777777" w:rsidR="002E08AA" w:rsidRPr="00CB4A63" w:rsidRDefault="002E08AA" w:rsidP="002E08AA">
            <w:pPr>
              <w:numPr>
                <w:ilvl w:val="0"/>
                <w:numId w:val="129"/>
              </w:numPr>
              <w:autoSpaceDE w:val="0"/>
              <w:autoSpaceDN w:val="0"/>
              <w:adjustRightInd w:val="0"/>
              <w:spacing w:before="120" w:after="120" w:line="240" w:lineRule="auto"/>
              <w:contextualSpacing/>
              <w:rPr>
                <w:rFonts w:ascii="Arial" w:hAnsi="Arial" w:cs="Arial"/>
                <w:iCs/>
                <w:szCs w:val="20"/>
              </w:rPr>
            </w:pPr>
            <w:r>
              <w:rPr>
                <w:rFonts w:ascii="Arial" w:hAnsi="Arial"/>
              </w:rPr>
              <w:t>darbības licence;</w:t>
            </w:r>
          </w:p>
          <w:p w14:paraId="06BB87FA" w14:textId="77777777" w:rsidR="002E08AA" w:rsidRPr="00CB4A63" w:rsidRDefault="002E08AA" w:rsidP="002E08AA">
            <w:pPr>
              <w:numPr>
                <w:ilvl w:val="0"/>
                <w:numId w:val="129"/>
              </w:numPr>
              <w:autoSpaceDE w:val="0"/>
              <w:autoSpaceDN w:val="0"/>
              <w:adjustRightInd w:val="0"/>
              <w:spacing w:before="120" w:after="120" w:line="240" w:lineRule="auto"/>
              <w:contextualSpacing/>
              <w:rPr>
                <w:rFonts w:ascii="Arial" w:hAnsi="Arial" w:cs="Arial"/>
                <w:iCs/>
                <w:szCs w:val="20"/>
              </w:rPr>
            </w:pPr>
            <w:r>
              <w:rPr>
                <w:rFonts w:ascii="Arial" w:hAnsi="Arial"/>
              </w:rPr>
              <w:t>uzturēšana;</w:t>
            </w:r>
          </w:p>
          <w:p w14:paraId="635C28DB" w14:textId="77777777" w:rsidR="002E08AA" w:rsidRPr="00CB4A63" w:rsidRDefault="002E08AA" w:rsidP="002E08AA">
            <w:pPr>
              <w:numPr>
                <w:ilvl w:val="0"/>
                <w:numId w:val="129"/>
              </w:numPr>
              <w:autoSpaceDE w:val="0"/>
              <w:autoSpaceDN w:val="0"/>
              <w:adjustRightInd w:val="0"/>
              <w:spacing w:before="120" w:after="120" w:line="240" w:lineRule="auto"/>
              <w:contextualSpacing/>
              <w:rPr>
                <w:rFonts w:ascii="Arial" w:hAnsi="Arial" w:cs="Arial"/>
                <w:iCs/>
                <w:szCs w:val="20"/>
              </w:rPr>
            </w:pPr>
            <w:r>
              <w:rPr>
                <w:rFonts w:ascii="Arial" w:hAnsi="Arial"/>
              </w:rPr>
              <w:t>viesošana.</w:t>
            </w:r>
          </w:p>
          <w:p w14:paraId="03F983D1" w14:textId="77777777" w:rsidR="002E08AA" w:rsidRPr="00CB4A63" w:rsidRDefault="002E08AA" w:rsidP="002E08AA">
            <w:pPr>
              <w:spacing w:after="0" w:line="240" w:lineRule="auto"/>
              <w:rPr>
                <w:rFonts w:ascii="Arial" w:hAnsi="Arial" w:cs="Arial"/>
                <w:i/>
              </w:rPr>
            </w:pPr>
          </w:p>
        </w:tc>
      </w:tr>
    </w:tbl>
    <w:p w14:paraId="1D8183FA" w14:textId="77777777" w:rsidR="00D47CF9" w:rsidRPr="00CB4A63" w:rsidRDefault="00D47CF9" w:rsidP="00B55F18">
      <w:pPr>
        <w:spacing w:after="160" w:line="259" w:lineRule="auto"/>
        <w:jc w:val="center"/>
      </w:pPr>
    </w:p>
    <w:p w14:paraId="0CB0CE43" w14:textId="77777777" w:rsidR="0003144D" w:rsidRPr="00CB4A63" w:rsidRDefault="0003144D" w:rsidP="008715A6">
      <w:pPr>
        <w:spacing w:after="160" w:line="259" w:lineRule="auto"/>
      </w:pPr>
    </w:p>
    <w:p w14:paraId="75E59BE8" w14:textId="77777777" w:rsidR="003061D9" w:rsidRPr="00CB4A63" w:rsidRDefault="003061D9">
      <w:pPr>
        <w:spacing w:after="160" w:line="259" w:lineRule="auto"/>
        <w:rPr>
          <w:rFonts w:asciiTheme="majorHAnsi" w:eastAsia="Times New Roman" w:hAnsiTheme="majorHAnsi" w:cstheme="majorBidi"/>
          <w:b/>
          <w:bCs/>
          <w:color w:val="5B9BD5" w:themeColor="accent1"/>
          <w:sz w:val="26"/>
          <w:szCs w:val="26"/>
        </w:rPr>
      </w:pPr>
      <w:r>
        <w:br w:type="page"/>
      </w:r>
    </w:p>
    <w:p w14:paraId="049AFCA2" w14:textId="07DD6A98" w:rsidR="0003144D" w:rsidRPr="00CB4A63" w:rsidRDefault="0003144D" w:rsidP="0003144D">
      <w:pPr>
        <w:pStyle w:val="Virsraksts2"/>
        <w:ind w:left="567"/>
        <w:rPr>
          <w:rFonts w:eastAsia="Times New Roman"/>
        </w:rPr>
      </w:pPr>
      <w:bookmarkStart w:id="176" w:name="_Toc479786246"/>
      <w:bookmarkStart w:id="177" w:name="_Toc484770725"/>
      <w:r>
        <w:lastRenderedPageBreak/>
        <w:t>Līguma ar ND TSO funkcijas pakalpojumu nodrošinātāju – sakaru tīkla piegādātāju – kopsavilkums</w:t>
      </w:r>
      <w:bookmarkEnd w:id="176"/>
      <w:bookmarkEnd w:id="177"/>
    </w:p>
    <w:p w14:paraId="48DA9550" w14:textId="77777777" w:rsidR="0003144D" w:rsidRPr="00CB4A63" w:rsidRDefault="0003144D" w:rsidP="00B55F18">
      <w:pPr>
        <w:spacing w:after="160" w:line="259" w:lineRule="auto"/>
        <w:jc w:val="center"/>
      </w:pPr>
    </w:p>
    <w:p w14:paraId="049EFC54" w14:textId="77777777" w:rsidR="0003144D" w:rsidRPr="00CB4A63" w:rsidRDefault="0003144D" w:rsidP="00B55F18">
      <w:pPr>
        <w:spacing w:after="160" w:line="259" w:lineRule="auto"/>
        <w:jc w:val="center"/>
      </w:pPr>
    </w:p>
    <w:tbl>
      <w:tblPr>
        <w:tblStyle w:val="Reatabula"/>
        <w:tblW w:w="9606" w:type="dxa"/>
        <w:tblLook w:val="04A0" w:firstRow="1" w:lastRow="0" w:firstColumn="1" w:lastColumn="0" w:noHBand="0" w:noVBand="1"/>
      </w:tblPr>
      <w:tblGrid>
        <w:gridCol w:w="3070"/>
        <w:gridCol w:w="6536"/>
      </w:tblGrid>
      <w:tr w:rsidR="0003144D" w:rsidRPr="00CB4A63" w14:paraId="7B4C460E" w14:textId="77777777" w:rsidTr="0003144D">
        <w:tc>
          <w:tcPr>
            <w:tcW w:w="960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242C2F5" w14:textId="77777777" w:rsidR="0003144D" w:rsidRPr="00CB4A63" w:rsidRDefault="0003144D">
            <w:pPr>
              <w:spacing w:after="0" w:line="240" w:lineRule="auto"/>
              <w:jc w:val="center"/>
              <w:rPr>
                <w:rFonts w:ascii="Arial" w:hAnsi="Arial" w:cs="Arial"/>
                <w:b/>
                <w:color w:val="FFFFFF" w:themeColor="background1"/>
              </w:rPr>
            </w:pPr>
          </w:p>
          <w:p w14:paraId="363E23CC" w14:textId="77777777" w:rsidR="0003144D" w:rsidRPr="00CB4A63" w:rsidRDefault="0003144D">
            <w:pPr>
              <w:spacing w:after="0" w:line="240" w:lineRule="auto"/>
              <w:jc w:val="center"/>
              <w:rPr>
                <w:rFonts w:ascii="Arial" w:hAnsi="Arial" w:cs="Arial"/>
                <w:b/>
                <w:color w:val="FFFFFF" w:themeColor="background1"/>
              </w:rPr>
            </w:pPr>
            <w:r>
              <w:rPr>
                <w:rFonts w:ascii="Arial" w:hAnsi="Arial"/>
                <w:b/>
                <w:color w:val="FFFFFF" w:themeColor="background1"/>
              </w:rPr>
              <w:t xml:space="preserve">Līguma noteikumi </w:t>
            </w:r>
          </w:p>
          <w:p w14:paraId="08F00714" w14:textId="77777777" w:rsidR="0003144D" w:rsidRPr="00CB4A63" w:rsidRDefault="0003144D">
            <w:pPr>
              <w:spacing w:after="0" w:line="240" w:lineRule="auto"/>
              <w:jc w:val="center"/>
              <w:rPr>
                <w:rFonts w:ascii="Arial" w:hAnsi="Arial" w:cs="Arial"/>
                <w:b/>
                <w:color w:val="FFFFFF" w:themeColor="background1"/>
              </w:rPr>
            </w:pPr>
          </w:p>
        </w:tc>
      </w:tr>
      <w:tr w:rsidR="0003144D" w:rsidRPr="00CB4A63" w14:paraId="51804CA1" w14:textId="77777777" w:rsidTr="0003144D">
        <w:tc>
          <w:tcPr>
            <w:tcW w:w="3070" w:type="dxa"/>
            <w:tcBorders>
              <w:top w:val="single" w:sz="4" w:space="0" w:color="auto"/>
              <w:left w:val="single" w:sz="4" w:space="0" w:color="auto"/>
              <w:bottom w:val="single" w:sz="4" w:space="0" w:color="auto"/>
              <w:right w:val="single" w:sz="4" w:space="0" w:color="auto"/>
            </w:tcBorders>
            <w:hideMark/>
          </w:tcPr>
          <w:p w14:paraId="38288557" w14:textId="77777777" w:rsidR="00C648E2" w:rsidRPr="00CB4A63" w:rsidRDefault="00C648E2">
            <w:pPr>
              <w:spacing w:after="0" w:line="240" w:lineRule="auto"/>
              <w:jc w:val="center"/>
              <w:rPr>
                <w:rFonts w:ascii="Arial" w:hAnsi="Arial" w:cs="Arial"/>
                <w:b/>
              </w:rPr>
            </w:pPr>
          </w:p>
          <w:p w14:paraId="059036FF" w14:textId="6FCC84BF" w:rsidR="0003144D" w:rsidRPr="00CB4A63" w:rsidRDefault="00F01CBE">
            <w:pPr>
              <w:spacing w:after="0" w:line="240" w:lineRule="auto"/>
              <w:jc w:val="center"/>
              <w:rPr>
                <w:rFonts w:ascii="Arial" w:hAnsi="Arial" w:cs="Arial"/>
                <w:b/>
                <w:highlight w:val="green"/>
              </w:rPr>
            </w:pPr>
            <w:r>
              <w:rPr>
                <w:rFonts w:ascii="Arial" w:hAnsi="Arial"/>
                <w:b/>
              </w:rPr>
              <w:t xml:space="preserve">Priekšmets </w:t>
            </w:r>
          </w:p>
        </w:tc>
        <w:tc>
          <w:tcPr>
            <w:tcW w:w="6536" w:type="dxa"/>
            <w:tcBorders>
              <w:top w:val="single" w:sz="4" w:space="0" w:color="auto"/>
              <w:left w:val="single" w:sz="4" w:space="0" w:color="auto"/>
              <w:bottom w:val="single" w:sz="4" w:space="0" w:color="auto"/>
              <w:right w:val="single" w:sz="4" w:space="0" w:color="auto"/>
            </w:tcBorders>
          </w:tcPr>
          <w:p w14:paraId="089A86B1" w14:textId="77777777" w:rsidR="0003144D" w:rsidRPr="00CB4A63" w:rsidRDefault="0003144D">
            <w:pPr>
              <w:spacing w:after="0" w:line="240" w:lineRule="auto"/>
              <w:jc w:val="both"/>
              <w:rPr>
                <w:rFonts w:ascii="Arial" w:hAnsi="Arial" w:cs="Arial"/>
                <w:highlight w:val="green"/>
              </w:rPr>
            </w:pPr>
          </w:p>
          <w:p w14:paraId="2B2DF4AA" w14:textId="1899EF86" w:rsidR="0003144D" w:rsidRPr="00CB4A63" w:rsidRDefault="0003144D">
            <w:pPr>
              <w:spacing w:after="0" w:line="240" w:lineRule="auto"/>
              <w:jc w:val="both"/>
              <w:rPr>
                <w:rFonts w:ascii="Arial" w:hAnsi="Arial" w:cs="Arial"/>
              </w:rPr>
            </w:pPr>
            <w:r>
              <w:rPr>
                <w:rFonts w:ascii="Arial" w:hAnsi="Arial"/>
              </w:rPr>
              <w:t>MPLS sakaru tīkls nodrošina vienlīdzīgu un drošu saziņas tīklu starp D sistēmu un lokālo tirdzniecības risinājumu (LTR) neatkarīgi no LTR atrašanās vietas.</w:t>
            </w:r>
          </w:p>
          <w:p w14:paraId="1D0FF8B9" w14:textId="67BF37C1" w:rsidR="0003144D" w:rsidRPr="00CB4A63" w:rsidRDefault="0003144D">
            <w:pPr>
              <w:spacing w:after="0" w:line="240" w:lineRule="auto"/>
              <w:jc w:val="both"/>
              <w:rPr>
                <w:rFonts w:ascii="Arial" w:hAnsi="Arial" w:cs="Arial"/>
              </w:rPr>
            </w:pPr>
            <w:r>
              <w:rPr>
                <w:rFonts w:ascii="Arial" w:hAnsi="Arial"/>
              </w:rPr>
              <w:t xml:space="preserve">Vispārējie noteikumi un līguma pielikumi ir piemērojami jebkuriem sakaru tīkla piegādātāja nodrošinātajiem pakalpojumiem, tostarp sakaru tīkla piegādātāja piegādātajam aprīkojumam, kā norādīts katra NETO (LTS beigu punkts) un katra D sistēmas pārstāvētā centrālā punkta pasūtījuma formā. </w:t>
            </w:r>
          </w:p>
          <w:p w14:paraId="08C59851" w14:textId="77777777" w:rsidR="0003144D" w:rsidRPr="00CB4A63" w:rsidRDefault="0003144D">
            <w:pPr>
              <w:spacing w:after="0" w:line="240" w:lineRule="auto"/>
              <w:jc w:val="both"/>
              <w:rPr>
                <w:rFonts w:ascii="Arial" w:hAnsi="Arial" w:cs="Arial"/>
              </w:rPr>
            </w:pPr>
            <w:r>
              <w:rPr>
                <w:rFonts w:ascii="Arial" w:hAnsi="Arial"/>
              </w:rPr>
              <w:t>PLL nosaka PLL rādītājus un pakalpojuma atlaides dažādiem pakalpojumiem, kā arī ietver pakalpojumus, izmantojot ārēju interneta savienojumu, tikai gadījumos, kad tas ir īpaši norādīts.</w:t>
            </w:r>
          </w:p>
          <w:p w14:paraId="1F711D5D" w14:textId="77777777" w:rsidR="0003144D" w:rsidRPr="00CB4A63" w:rsidRDefault="0003144D">
            <w:pPr>
              <w:spacing w:after="0" w:line="240" w:lineRule="auto"/>
              <w:jc w:val="both"/>
              <w:rPr>
                <w:rFonts w:ascii="Arial" w:hAnsi="Arial" w:cs="Arial"/>
                <w:i/>
                <w:highlight w:val="green"/>
              </w:rPr>
            </w:pPr>
          </w:p>
        </w:tc>
      </w:tr>
      <w:tr w:rsidR="00BA59EB" w:rsidRPr="00CB4A63" w14:paraId="55BCD80C" w14:textId="77777777" w:rsidTr="0003144D">
        <w:tc>
          <w:tcPr>
            <w:tcW w:w="3070" w:type="dxa"/>
            <w:tcBorders>
              <w:top w:val="single" w:sz="4" w:space="0" w:color="auto"/>
              <w:left w:val="single" w:sz="4" w:space="0" w:color="auto"/>
              <w:bottom w:val="single" w:sz="4" w:space="0" w:color="auto"/>
              <w:right w:val="single" w:sz="4" w:space="0" w:color="auto"/>
            </w:tcBorders>
          </w:tcPr>
          <w:p w14:paraId="7F0C46F3" w14:textId="77777777" w:rsidR="00BA59EB" w:rsidRPr="00CB4A63" w:rsidRDefault="00BA59EB">
            <w:pPr>
              <w:spacing w:after="0" w:line="240" w:lineRule="auto"/>
              <w:jc w:val="center"/>
              <w:rPr>
                <w:rFonts w:ascii="Arial" w:hAnsi="Arial" w:cs="Arial"/>
                <w:b/>
              </w:rPr>
            </w:pPr>
          </w:p>
          <w:p w14:paraId="508C1977" w14:textId="28311C02" w:rsidR="00BA59EB" w:rsidRPr="00CB4A63" w:rsidRDefault="00BA59EB">
            <w:pPr>
              <w:spacing w:after="0" w:line="240" w:lineRule="auto"/>
              <w:jc w:val="center"/>
              <w:rPr>
                <w:rFonts w:ascii="Arial" w:hAnsi="Arial" w:cs="Arial"/>
                <w:b/>
              </w:rPr>
            </w:pPr>
            <w:r>
              <w:rPr>
                <w:rFonts w:ascii="Arial" w:hAnsi="Arial"/>
                <w:b/>
              </w:rPr>
              <w:t>Puses</w:t>
            </w:r>
          </w:p>
          <w:p w14:paraId="7265FDCD" w14:textId="68C7B588" w:rsidR="00BA59EB" w:rsidRPr="00CB4A63" w:rsidRDefault="00BA59EB">
            <w:pPr>
              <w:spacing w:after="0" w:line="240" w:lineRule="auto"/>
              <w:jc w:val="center"/>
              <w:rPr>
                <w:rFonts w:ascii="Arial" w:hAnsi="Arial" w:cs="Arial"/>
                <w:b/>
              </w:rPr>
            </w:pPr>
          </w:p>
        </w:tc>
        <w:tc>
          <w:tcPr>
            <w:tcW w:w="6536" w:type="dxa"/>
            <w:tcBorders>
              <w:top w:val="single" w:sz="4" w:space="0" w:color="auto"/>
              <w:left w:val="single" w:sz="4" w:space="0" w:color="auto"/>
              <w:bottom w:val="single" w:sz="4" w:space="0" w:color="auto"/>
              <w:right w:val="single" w:sz="4" w:space="0" w:color="auto"/>
            </w:tcBorders>
          </w:tcPr>
          <w:p w14:paraId="00CFB5E0" w14:textId="77777777" w:rsidR="00BA59EB" w:rsidRPr="00CB4A63" w:rsidRDefault="00BA59EB">
            <w:pPr>
              <w:spacing w:after="0" w:line="240" w:lineRule="auto"/>
              <w:jc w:val="both"/>
              <w:rPr>
                <w:rFonts w:ascii="Arial" w:hAnsi="Arial" w:cs="Arial"/>
              </w:rPr>
            </w:pPr>
          </w:p>
          <w:p w14:paraId="4DC69131" w14:textId="0D20DC3C" w:rsidR="00BA59EB" w:rsidRPr="00CB4A63" w:rsidRDefault="00FF1C6F">
            <w:pPr>
              <w:spacing w:after="0" w:line="240" w:lineRule="auto"/>
              <w:jc w:val="both"/>
              <w:rPr>
                <w:rFonts w:ascii="Arial" w:hAnsi="Arial" w:cs="Arial"/>
              </w:rPr>
            </w:pPr>
            <w:r>
              <w:rPr>
                <w:rFonts w:ascii="Arial" w:hAnsi="Arial"/>
              </w:rPr>
              <w:t xml:space="preserve">Visi D izraudzītie NETO un sakaru tīkla piegādātājs </w:t>
            </w:r>
          </w:p>
        </w:tc>
      </w:tr>
      <w:tr w:rsidR="0003144D" w:rsidRPr="00CB4A63" w14:paraId="6AA08229" w14:textId="77777777" w:rsidTr="0003144D">
        <w:tc>
          <w:tcPr>
            <w:tcW w:w="3070" w:type="dxa"/>
            <w:tcBorders>
              <w:top w:val="single" w:sz="4" w:space="0" w:color="auto"/>
              <w:left w:val="single" w:sz="4" w:space="0" w:color="auto"/>
              <w:bottom w:val="single" w:sz="4" w:space="0" w:color="auto"/>
              <w:right w:val="single" w:sz="4" w:space="0" w:color="auto"/>
            </w:tcBorders>
          </w:tcPr>
          <w:p w14:paraId="4208A025" w14:textId="77777777" w:rsidR="0003144D" w:rsidRPr="00CB4A63" w:rsidRDefault="0003144D">
            <w:pPr>
              <w:spacing w:after="0" w:line="240" w:lineRule="auto"/>
              <w:jc w:val="center"/>
              <w:rPr>
                <w:rFonts w:ascii="Arial" w:hAnsi="Arial" w:cs="Arial"/>
                <w:b/>
              </w:rPr>
            </w:pPr>
          </w:p>
          <w:p w14:paraId="5FF4753F" w14:textId="4D73C967" w:rsidR="0003144D" w:rsidRPr="00CB4A63" w:rsidRDefault="00F01CBE">
            <w:pPr>
              <w:spacing w:after="0" w:line="240" w:lineRule="auto"/>
              <w:jc w:val="center"/>
              <w:rPr>
                <w:rFonts w:ascii="Arial" w:hAnsi="Arial" w:cs="Arial"/>
                <w:b/>
              </w:rPr>
            </w:pPr>
            <w:r>
              <w:rPr>
                <w:rFonts w:ascii="Arial" w:hAnsi="Arial"/>
                <w:b/>
              </w:rPr>
              <w:t>Darbības joma</w:t>
            </w:r>
          </w:p>
        </w:tc>
        <w:tc>
          <w:tcPr>
            <w:tcW w:w="6536" w:type="dxa"/>
            <w:tcBorders>
              <w:top w:val="single" w:sz="4" w:space="0" w:color="auto"/>
              <w:left w:val="single" w:sz="4" w:space="0" w:color="auto"/>
              <w:bottom w:val="single" w:sz="4" w:space="0" w:color="auto"/>
              <w:right w:val="single" w:sz="4" w:space="0" w:color="auto"/>
            </w:tcBorders>
          </w:tcPr>
          <w:p w14:paraId="4042C881" w14:textId="77777777" w:rsidR="0003144D" w:rsidRPr="00CB4A63" w:rsidRDefault="0003144D">
            <w:pPr>
              <w:spacing w:after="0" w:line="240" w:lineRule="auto"/>
              <w:jc w:val="both"/>
              <w:rPr>
                <w:rFonts w:ascii="Arial" w:hAnsi="Arial" w:cs="Arial"/>
              </w:rPr>
            </w:pPr>
          </w:p>
          <w:p w14:paraId="36A10A9E" w14:textId="6D6BCFEE" w:rsidR="0003144D" w:rsidRPr="00CB4A63" w:rsidRDefault="0003144D" w:rsidP="00174B30">
            <w:pPr>
              <w:pStyle w:val="Sarakstarindkopa"/>
              <w:numPr>
                <w:ilvl w:val="0"/>
                <w:numId w:val="86"/>
              </w:numPr>
              <w:spacing w:after="0" w:line="240" w:lineRule="auto"/>
              <w:jc w:val="both"/>
              <w:rPr>
                <w:rFonts w:ascii="Arial" w:hAnsi="Arial" w:cs="Arial"/>
              </w:rPr>
            </w:pPr>
            <w:r>
              <w:rPr>
                <w:rFonts w:ascii="Arial" w:hAnsi="Arial"/>
              </w:rPr>
              <w:t>īstenošanas pakalpojumi, tostarp:</w:t>
            </w:r>
          </w:p>
          <w:p w14:paraId="5B210D83" w14:textId="77777777" w:rsidR="0003144D" w:rsidRPr="00CB4A63" w:rsidRDefault="0003144D" w:rsidP="00174B30">
            <w:pPr>
              <w:pStyle w:val="Sarakstarindkopa"/>
              <w:numPr>
                <w:ilvl w:val="1"/>
                <w:numId w:val="86"/>
              </w:numPr>
              <w:spacing w:after="0" w:line="240" w:lineRule="auto"/>
              <w:jc w:val="both"/>
              <w:rPr>
                <w:rFonts w:ascii="Arial" w:hAnsi="Arial" w:cs="Arial"/>
              </w:rPr>
            </w:pPr>
            <w:r>
              <w:rPr>
                <w:rFonts w:ascii="Arial" w:hAnsi="Arial"/>
              </w:rPr>
              <w:t xml:space="preserve">ar projektu vadību saistītie pakalpojumi; </w:t>
            </w:r>
          </w:p>
          <w:p w14:paraId="1E104AAF" w14:textId="77777777" w:rsidR="0003144D" w:rsidRPr="00CB4A63" w:rsidRDefault="0003144D" w:rsidP="00174B30">
            <w:pPr>
              <w:pStyle w:val="Sarakstarindkopa"/>
              <w:numPr>
                <w:ilvl w:val="1"/>
                <w:numId w:val="86"/>
              </w:numPr>
              <w:spacing w:after="0" w:line="240" w:lineRule="auto"/>
              <w:jc w:val="both"/>
              <w:rPr>
                <w:rFonts w:ascii="Arial" w:hAnsi="Arial" w:cs="Arial"/>
              </w:rPr>
            </w:pPr>
            <w:r>
              <w:rPr>
                <w:rFonts w:ascii="Arial" w:hAnsi="Arial"/>
              </w:rPr>
              <w:t xml:space="preserve">uzstādīšanas pakalpojumi; </w:t>
            </w:r>
          </w:p>
          <w:p w14:paraId="720DEB38" w14:textId="7D7B7557" w:rsidR="0003144D" w:rsidRPr="00CB4A63" w:rsidRDefault="006053BC" w:rsidP="00174B30">
            <w:pPr>
              <w:pStyle w:val="Sarakstarindkopa"/>
              <w:numPr>
                <w:ilvl w:val="0"/>
                <w:numId w:val="86"/>
              </w:numPr>
              <w:spacing w:after="0" w:line="240" w:lineRule="auto"/>
              <w:jc w:val="both"/>
              <w:rPr>
                <w:rFonts w:ascii="Arial" w:hAnsi="Arial" w:cs="Arial"/>
              </w:rPr>
            </w:pPr>
            <w:r>
              <w:rPr>
                <w:rFonts w:ascii="Arial" w:hAnsi="Arial"/>
              </w:rPr>
              <w:t>funkcionālie pakalpojumi, tostarp:</w:t>
            </w:r>
          </w:p>
          <w:p w14:paraId="47A73E1F" w14:textId="4937E1D6" w:rsidR="0003144D" w:rsidRPr="00CB4A63" w:rsidRDefault="0003144D" w:rsidP="00BA59EB">
            <w:pPr>
              <w:pStyle w:val="Sarakstarindkopa"/>
              <w:numPr>
                <w:ilvl w:val="1"/>
                <w:numId w:val="86"/>
              </w:numPr>
              <w:spacing w:after="0" w:line="240" w:lineRule="auto"/>
              <w:jc w:val="both"/>
              <w:rPr>
                <w:rFonts w:ascii="Arial" w:hAnsi="Arial" w:cs="Arial"/>
              </w:rPr>
            </w:pPr>
            <w:r>
              <w:rPr>
                <w:rFonts w:ascii="Arial" w:hAnsi="Arial"/>
              </w:rPr>
              <w:t xml:space="preserve">pakalpojumu sniegšana; </w:t>
            </w:r>
          </w:p>
          <w:p w14:paraId="7606FAD5" w14:textId="4A30DDCC" w:rsidR="0003144D" w:rsidRPr="00CB4A63" w:rsidRDefault="0003144D" w:rsidP="00BA59EB">
            <w:pPr>
              <w:pStyle w:val="Sarakstarindkopa"/>
              <w:numPr>
                <w:ilvl w:val="1"/>
                <w:numId w:val="86"/>
              </w:numPr>
              <w:spacing w:after="0" w:line="240" w:lineRule="auto"/>
              <w:jc w:val="both"/>
              <w:rPr>
                <w:rFonts w:ascii="Arial" w:hAnsi="Arial" w:cs="Arial"/>
              </w:rPr>
            </w:pPr>
            <w:r>
              <w:rPr>
                <w:rFonts w:ascii="Arial" w:hAnsi="Arial"/>
              </w:rPr>
              <w:t xml:space="preserve">kļūmju risināšana. </w:t>
            </w:r>
          </w:p>
          <w:p w14:paraId="6DAFA9FE" w14:textId="77777777" w:rsidR="0003144D" w:rsidRPr="00CB4A63" w:rsidRDefault="0003144D">
            <w:pPr>
              <w:pStyle w:val="Sarakstarindkopa"/>
              <w:spacing w:after="0" w:line="240" w:lineRule="auto"/>
              <w:ind w:left="1440"/>
              <w:jc w:val="both"/>
              <w:rPr>
                <w:rFonts w:ascii="Arial" w:hAnsi="Arial" w:cs="Arial"/>
              </w:rPr>
            </w:pPr>
          </w:p>
          <w:p w14:paraId="722AAFA0" w14:textId="77777777" w:rsidR="0003144D" w:rsidRPr="00CB4A63" w:rsidRDefault="0003144D" w:rsidP="005A2019">
            <w:pPr>
              <w:pStyle w:val="Sarakstarindkopa"/>
              <w:spacing w:after="0" w:line="240" w:lineRule="auto"/>
              <w:ind w:left="0"/>
              <w:jc w:val="both"/>
              <w:rPr>
                <w:rFonts w:ascii="Arial" w:hAnsi="Arial" w:cs="Arial"/>
                <w:i/>
              </w:rPr>
            </w:pPr>
          </w:p>
        </w:tc>
      </w:tr>
    </w:tbl>
    <w:p w14:paraId="46F504EB" w14:textId="77777777" w:rsidR="0003144D" w:rsidRPr="00CB4A63" w:rsidRDefault="0003144D" w:rsidP="00B55F18">
      <w:pPr>
        <w:spacing w:after="160" w:line="259" w:lineRule="auto"/>
        <w:jc w:val="center"/>
      </w:pPr>
    </w:p>
    <w:sectPr w:rsidR="0003144D" w:rsidRPr="00CB4A63" w:rsidSect="00384754">
      <w:footerReference w:type="default" r:id="rId13"/>
      <w:pgSz w:w="11906" w:h="16838"/>
      <w:pgMar w:top="1440" w:right="1440" w:bottom="851" w:left="1440"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DCF94" w14:textId="77777777" w:rsidR="004C765F" w:rsidRDefault="004C765F" w:rsidP="00EC39FB">
      <w:pPr>
        <w:spacing w:after="0" w:line="240" w:lineRule="auto"/>
      </w:pPr>
      <w:r>
        <w:separator/>
      </w:r>
    </w:p>
  </w:endnote>
  <w:endnote w:type="continuationSeparator" w:id="0">
    <w:p w14:paraId="4BF1E3D1" w14:textId="77777777" w:rsidR="004C765F" w:rsidRDefault="004C765F" w:rsidP="00EC39FB">
      <w:pPr>
        <w:spacing w:after="0" w:line="240" w:lineRule="auto"/>
      </w:pPr>
      <w:r>
        <w:continuationSeparator/>
      </w:r>
    </w:p>
  </w:endnote>
  <w:endnote w:type="continuationNotice" w:id="1">
    <w:p w14:paraId="1B144B23" w14:textId="77777777" w:rsidR="004C765F" w:rsidRDefault="004C7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 Gothic GDB">
    <w:altName w:val="Arial Narrow"/>
    <w:charset w:val="00"/>
    <w:family w:val="swiss"/>
    <w:pitch w:val="variable"/>
    <w:sig w:usb0="80000027" w:usb1="00000040" w:usb2="00000000" w:usb3="00000000" w:csb0="00000001" w:csb1="00000000"/>
  </w:font>
  <w:font w:name="Verdana">
    <w:panose1 w:val="020B0604030504040204"/>
    <w:charset w:val="BA"/>
    <w:family w:val="swiss"/>
    <w:pitch w:val="variable"/>
    <w:sig w:usb0="A10006FF" w:usb1="4000205B" w:usb2="0000001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540305"/>
      <w:docPartObj>
        <w:docPartGallery w:val="Page Numbers (Bottom of Page)"/>
        <w:docPartUnique/>
      </w:docPartObj>
    </w:sdtPr>
    <w:sdtEndPr>
      <w:rPr>
        <w:noProof/>
      </w:rPr>
    </w:sdtEndPr>
    <w:sdtContent>
      <w:p w14:paraId="40D22295" w14:textId="70066AB7" w:rsidR="00384754" w:rsidRDefault="00384754">
        <w:pPr>
          <w:pStyle w:val="Kjene"/>
          <w:jc w:val="right"/>
        </w:pPr>
        <w:r>
          <w:fldChar w:fldCharType="begin"/>
        </w:r>
        <w:r>
          <w:instrText xml:space="preserve"> PAGE   \* MERGEFORMAT </w:instrText>
        </w:r>
        <w:r>
          <w:fldChar w:fldCharType="separate"/>
        </w:r>
        <w:r w:rsidR="007F7CEF">
          <w:rPr>
            <w:noProof/>
          </w:rPr>
          <w:t>2</w:t>
        </w:r>
        <w:r>
          <w:rPr>
            <w:noProof/>
          </w:rPr>
          <w:fldChar w:fldCharType="end"/>
        </w:r>
      </w:p>
    </w:sdtContent>
  </w:sdt>
  <w:p w14:paraId="58858292" w14:textId="77777777" w:rsidR="00384754" w:rsidRDefault="003847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ECE39" w14:textId="77777777" w:rsidR="004C765F" w:rsidRDefault="004C765F" w:rsidP="00EC39FB">
      <w:pPr>
        <w:spacing w:after="0" w:line="240" w:lineRule="auto"/>
      </w:pPr>
      <w:r>
        <w:separator/>
      </w:r>
    </w:p>
  </w:footnote>
  <w:footnote w:type="continuationSeparator" w:id="0">
    <w:p w14:paraId="4DA80F45" w14:textId="77777777" w:rsidR="004C765F" w:rsidRDefault="004C765F" w:rsidP="00EC39FB">
      <w:pPr>
        <w:spacing w:after="0" w:line="240" w:lineRule="auto"/>
      </w:pPr>
      <w:r>
        <w:continuationSeparator/>
      </w:r>
    </w:p>
  </w:footnote>
  <w:footnote w:type="continuationNotice" w:id="1">
    <w:p w14:paraId="228EB843" w14:textId="77777777" w:rsidR="004C765F" w:rsidRDefault="004C765F">
      <w:pPr>
        <w:spacing w:after="0" w:line="240" w:lineRule="auto"/>
      </w:pPr>
    </w:p>
  </w:footnote>
  <w:footnote w:id="2">
    <w:p w14:paraId="26F414D9" w14:textId="77777777" w:rsidR="00384754" w:rsidRPr="005C5FC1" w:rsidRDefault="00384754" w:rsidP="00D45177">
      <w:pPr>
        <w:pStyle w:val="Vresteksts"/>
        <w:rPr>
          <w:lang w:val="cs-CZ"/>
        </w:rPr>
      </w:pPr>
      <w:r>
        <w:rPr>
          <w:rStyle w:val="Vresatsauce"/>
        </w:rPr>
        <w:footnoteRef/>
      </w:r>
      <w:r>
        <w:t xml:space="preserve"> Līgumi visu NETO un visu PSO starpā, kā arī valstu un reģionālie līgumi, kas nepieciešami, lai noteiktu posmu pirms un pēc sasaistes / TSO funkciju procesus ND un D, kas ir ārpus šī TSO plāna darbības jomas.</w:t>
      </w:r>
    </w:p>
  </w:footnote>
  <w:footnote w:id="3">
    <w:p w14:paraId="7CD08598" w14:textId="77777777" w:rsidR="00384754" w:rsidRPr="00F04BE8" w:rsidRDefault="00384754" w:rsidP="00F514B9">
      <w:pPr>
        <w:pStyle w:val="Komentrateksts"/>
        <w:rPr>
          <w:lang w:val="en-US"/>
        </w:rPr>
      </w:pPr>
      <w:r>
        <w:rPr>
          <w:rStyle w:val="Vresatsauce"/>
        </w:rPr>
        <w:footnoteRef/>
      </w:r>
      <w:r>
        <w:t xml:space="preserve"> Neattiecas uz CACM regulas 9. panta 6. punktā norādītajām metodēm.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C50"/>
    <w:multiLevelType w:val="hybridMultilevel"/>
    <w:tmpl w:val="00901114"/>
    <w:lvl w:ilvl="0" w:tplc="0409000F">
      <w:start w:val="1"/>
      <w:numFmt w:val="decimal"/>
      <w:lvlText w:val="%1."/>
      <w:lvlJc w:val="left"/>
      <w:pPr>
        <w:ind w:left="720" w:hanging="360"/>
      </w:pPr>
      <w:rPr>
        <w:rFonts w:hint="default"/>
      </w:rPr>
    </w:lvl>
    <w:lvl w:ilvl="1" w:tplc="81F895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53BAE"/>
    <w:multiLevelType w:val="hybridMultilevel"/>
    <w:tmpl w:val="411653BA"/>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1222B71"/>
    <w:multiLevelType w:val="hybridMultilevel"/>
    <w:tmpl w:val="3E38379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747827"/>
    <w:multiLevelType w:val="hybridMultilevel"/>
    <w:tmpl w:val="83C0E112"/>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2150B04"/>
    <w:multiLevelType w:val="hybridMultilevel"/>
    <w:tmpl w:val="9CEC7DA0"/>
    <w:lvl w:ilvl="0" w:tplc="B46AB7A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2814EC4"/>
    <w:multiLevelType w:val="hybridMultilevel"/>
    <w:tmpl w:val="12D0F560"/>
    <w:lvl w:ilvl="0" w:tplc="EB800BB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F51541"/>
    <w:multiLevelType w:val="hybridMultilevel"/>
    <w:tmpl w:val="3D681982"/>
    <w:lvl w:ilvl="0" w:tplc="3814CCD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02F52A9F"/>
    <w:multiLevelType w:val="hybridMultilevel"/>
    <w:tmpl w:val="A35EE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5C461EC"/>
    <w:multiLevelType w:val="hybridMultilevel"/>
    <w:tmpl w:val="A9780B44"/>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6DA7BD5"/>
    <w:multiLevelType w:val="hybridMultilevel"/>
    <w:tmpl w:val="F0AC7622"/>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0A0D559D"/>
    <w:multiLevelType w:val="hybridMultilevel"/>
    <w:tmpl w:val="3D648D9A"/>
    <w:lvl w:ilvl="0" w:tplc="5E80E90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0ACF45F9"/>
    <w:multiLevelType w:val="hybridMultilevel"/>
    <w:tmpl w:val="8E84EC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0AEE6E06"/>
    <w:multiLevelType w:val="hybridMultilevel"/>
    <w:tmpl w:val="38047A3C"/>
    <w:lvl w:ilvl="0" w:tplc="50F08920">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F6A194A"/>
    <w:multiLevelType w:val="hybridMultilevel"/>
    <w:tmpl w:val="A164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426985"/>
    <w:multiLevelType w:val="hybridMultilevel"/>
    <w:tmpl w:val="8C029EFC"/>
    <w:lvl w:ilvl="0" w:tplc="0410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68202E"/>
    <w:multiLevelType w:val="hybridMultilevel"/>
    <w:tmpl w:val="00901114"/>
    <w:lvl w:ilvl="0" w:tplc="0409000F">
      <w:start w:val="1"/>
      <w:numFmt w:val="decimal"/>
      <w:lvlText w:val="%1."/>
      <w:lvlJc w:val="left"/>
      <w:pPr>
        <w:ind w:left="720" w:hanging="360"/>
      </w:pPr>
      <w:rPr>
        <w:rFonts w:hint="default"/>
      </w:rPr>
    </w:lvl>
    <w:lvl w:ilvl="1" w:tplc="81F895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0E6BCE"/>
    <w:multiLevelType w:val="hybridMultilevel"/>
    <w:tmpl w:val="3CB0A896"/>
    <w:lvl w:ilvl="0" w:tplc="0409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11926CA"/>
    <w:multiLevelType w:val="hybridMultilevel"/>
    <w:tmpl w:val="8C029EFC"/>
    <w:lvl w:ilvl="0" w:tplc="0410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AC1763"/>
    <w:multiLevelType w:val="hybridMultilevel"/>
    <w:tmpl w:val="A798E4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13572017"/>
    <w:multiLevelType w:val="hybridMultilevel"/>
    <w:tmpl w:val="DF16067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13A969FD"/>
    <w:multiLevelType w:val="hybridMultilevel"/>
    <w:tmpl w:val="411653BA"/>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14A94937"/>
    <w:multiLevelType w:val="hybridMultilevel"/>
    <w:tmpl w:val="22382D10"/>
    <w:lvl w:ilvl="0" w:tplc="33745BC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14F12552"/>
    <w:multiLevelType w:val="hybridMultilevel"/>
    <w:tmpl w:val="DCA414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15505844"/>
    <w:multiLevelType w:val="hybridMultilevel"/>
    <w:tmpl w:val="474466EE"/>
    <w:lvl w:ilvl="0" w:tplc="0410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F214EB"/>
    <w:multiLevelType w:val="hybridMultilevel"/>
    <w:tmpl w:val="5AB4221C"/>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177E7A04"/>
    <w:multiLevelType w:val="hybridMultilevel"/>
    <w:tmpl w:val="004A8F54"/>
    <w:lvl w:ilvl="0" w:tplc="CA883A32">
      <w:start w:val="1"/>
      <w:numFmt w:val="lowerLetter"/>
      <w:lvlText w:val="%1."/>
      <w:lvlJc w:val="left"/>
      <w:pPr>
        <w:ind w:left="786" w:hanging="360"/>
      </w:pPr>
      <w:rPr>
        <w:rFonts w:hint="default"/>
      </w:rPr>
    </w:lvl>
    <w:lvl w:ilvl="1" w:tplc="81F8953C">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1AF97774"/>
    <w:multiLevelType w:val="hybridMultilevel"/>
    <w:tmpl w:val="DF16067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1E0B4FC1"/>
    <w:multiLevelType w:val="hybridMultilevel"/>
    <w:tmpl w:val="3CB0A896"/>
    <w:lvl w:ilvl="0" w:tplc="0409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20A7718A"/>
    <w:multiLevelType w:val="hybridMultilevel"/>
    <w:tmpl w:val="21C025EE"/>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20BE5A69"/>
    <w:multiLevelType w:val="hybridMultilevel"/>
    <w:tmpl w:val="7A662F86"/>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0" w15:restartNumberingAfterBreak="0">
    <w:nsid w:val="20EC3449"/>
    <w:multiLevelType w:val="hybridMultilevel"/>
    <w:tmpl w:val="204A1B68"/>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2125356A"/>
    <w:multiLevelType w:val="hybridMultilevel"/>
    <w:tmpl w:val="D188CF18"/>
    <w:lvl w:ilvl="0" w:tplc="5A14176E">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1F01A6E"/>
    <w:multiLevelType w:val="hybridMultilevel"/>
    <w:tmpl w:val="2878E088"/>
    <w:lvl w:ilvl="0" w:tplc="08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0264CD"/>
    <w:multiLevelType w:val="hybridMultilevel"/>
    <w:tmpl w:val="185266A0"/>
    <w:lvl w:ilvl="0" w:tplc="08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26A6954"/>
    <w:multiLevelType w:val="hybridMultilevel"/>
    <w:tmpl w:val="411653BA"/>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2459239B"/>
    <w:multiLevelType w:val="multilevel"/>
    <w:tmpl w:val="E0885794"/>
    <w:lvl w:ilvl="0">
      <w:start w:val="1"/>
      <w:numFmt w:val="decimal"/>
      <w:lvlText w:val="%1."/>
      <w:lvlJc w:val="left"/>
      <w:pPr>
        <w:tabs>
          <w:tab w:val="num" w:pos="720"/>
        </w:tabs>
        <w:ind w:left="720" w:hanging="360"/>
      </w:pPr>
    </w:lvl>
    <w:lvl w:ilvl="1">
      <w:start w:val="1"/>
      <w:numFmt w:val="lowerLetter"/>
      <w:lvlText w:val="%2)"/>
      <w:lvlJc w:val="left"/>
      <w:pPr>
        <w:ind w:left="1056" w:hanging="630"/>
      </w:pPr>
    </w:lvl>
    <w:lvl w:ilvl="2">
      <w:start w:val="1"/>
      <w:numFmt w:val="decimal"/>
      <w:isLgl/>
      <w:lvlText w:val="%1.%2.%3."/>
      <w:lvlJc w:val="left"/>
      <w:pPr>
        <w:ind w:left="1571"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36" w15:restartNumberingAfterBreak="0">
    <w:nsid w:val="25085DBC"/>
    <w:multiLevelType w:val="hybridMultilevel"/>
    <w:tmpl w:val="411653BA"/>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27D26C2B"/>
    <w:multiLevelType w:val="multilevel"/>
    <w:tmpl w:val="798666AC"/>
    <w:lvl w:ilvl="0">
      <w:start w:val="1"/>
      <w:numFmt w:val="decimal"/>
      <w:pStyle w:val="Virsraksts1"/>
      <w:lvlText w:val="%1"/>
      <w:lvlJc w:val="left"/>
      <w:pPr>
        <w:ind w:left="432" w:hanging="432"/>
      </w:pPr>
      <w:rPr>
        <w:rFonts w:hint="default"/>
        <w:b/>
        <w:sz w:val="28"/>
      </w:rPr>
    </w:lvl>
    <w:lvl w:ilvl="1">
      <w:start w:val="1"/>
      <w:numFmt w:val="decimal"/>
      <w:pStyle w:val="Virsraksts2"/>
      <w:lvlText w:val="%1.%2"/>
      <w:lvlJc w:val="left"/>
      <w:pPr>
        <w:ind w:left="576" w:hanging="576"/>
      </w:pPr>
      <w:rPr>
        <w:rFonts w:hint="default"/>
      </w:rPr>
    </w:lvl>
    <w:lvl w:ilvl="2">
      <w:start w:val="1"/>
      <w:numFmt w:val="decimal"/>
      <w:pStyle w:val="Virsraksts3"/>
      <w:lvlText w:val="%1.%2.%3"/>
      <w:lvlJc w:val="left"/>
      <w:pPr>
        <w:ind w:left="1288" w:hanging="720"/>
      </w:pPr>
      <w:rPr>
        <w:rFonts w:hint="default"/>
        <w:lang w:val="en-US"/>
      </w:rPr>
    </w:lvl>
    <w:lvl w:ilvl="3">
      <w:start w:val="1"/>
      <w:numFmt w:val="decimal"/>
      <w:pStyle w:val="Virsraksts4"/>
      <w:lvlText w:val="%1.%2.%3.%4"/>
      <w:lvlJc w:val="left"/>
      <w:pPr>
        <w:ind w:left="2664" w:hanging="864"/>
      </w:pPr>
      <w:rPr>
        <w:rFonts w:hint="default"/>
      </w:rPr>
    </w:lvl>
    <w:lvl w:ilvl="4">
      <w:start w:val="1"/>
      <w:numFmt w:val="decimal"/>
      <w:pStyle w:val="Virsraksts5"/>
      <w:lvlText w:val="%1.%2.%3.%4.%5"/>
      <w:lvlJc w:val="left"/>
      <w:pPr>
        <w:ind w:left="1008" w:hanging="1008"/>
      </w:pPr>
      <w:rPr>
        <w:rFonts w:hint="default"/>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38" w15:restartNumberingAfterBreak="0">
    <w:nsid w:val="27FD4D9D"/>
    <w:multiLevelType w:val="hybridMultilevel"/>
    <w:tmpl w:val="D4184F6A"/>
    <w:lvl w:ilvl="0" w:tplc="08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8690AC7"/>
    <w:multiLevelType w:val="hybridMultilevel"/>
    <w:tmpl w:val="4E4E6B60"/>
    <w:lvl w:ilvl="0" w:tplc="EB9C465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29A1395E"/>
    <w:multiLevelType w:val="hybridMultilevel"/>
    <w:tmpl w:val="CBBCA1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2A315159"/>
    <w:multiLevelType w:val="hybridMultilevel"/>
    <w:tmpl w:val="F3547D10"/>
    <w:lvl w:ilvl="0" w:tplc="08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86191E"/>
    <w:multiLevelType w:val="hybridMultilevel"/>
    <w:tmpl w:val="B17C5CF0"/>
    <w:lvl w:ilvl="0" w:tplc="08090019">
      <w:start w:val="1"/>
      <w:numFmt w:val="lowerLetter"/>
      <w:lvlText w:val="%1."/>
      <w:lvlJc w:val="left"/>
      <w:pPr>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BD1349D"/>
    <w:multiLevelType w:val="hybridMultilevel"/>
    <w:tmpl w:val="E3AC0310"/>
    <w:lvl w:ilvl="0" w:tplc="EB9C465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2CB274C4"/>
    <w:multiLevelType w:val="hybridMultilevel"/>
    <w:tmpl w:val="9EA46F82"/>
    <w:lvl w:ilvl="0" w:tplc="453C876A">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2D0845E8"/>
    <w:multiLevelType w:val="hybridMultilevel"/>
    <w:tmpl w:val="B1E641CE"/>
    <w:lvl w:ilvl="0" w:tplc="08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08047D"/>
    <w:multiLevelType w:val="hybridMultilevel"/>
    <w:tmpl w:val="21D684A0"/>
    <w:lvl w:ilvl="0" w:tplc="48FA082C">
      <w:start w:val="3"/>
      <w:numFmt w:val="bullet"/>
      <w:lvlText w:val="-"/>
      <w:lvlJc w:val="left"/>
      <w:pPr>
        <w:ind w:left="360" w:hanging="360"/>
      </w:pPr>
      <w:rPr>
        <w:rFonts w:ascii="Calibri" w:eastAsiaTheme="minorHAnsi" w:hAnsi="Calibri"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31694240"/>
    <w:multiLevelType w:val="hybridMultilevel"/>
    <w:tmpl w:val="B54A4534"/>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36115739"/>
    <w:multiLevelType w:val="hybridMultilevel"/>
    <w:tmpl w:val="411653BA"/>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38FB4308"/>
    <w:multiLevelType w:val="hybridMultilevel"/>
    <w:tmpl w:val="71E03076"/>
    <w:lvl w:ilvl="0" w:tplc="408228B0">
      <w:numFmt w:val="bullet"/>
      <w:lvlText w:val="-"/>
      <w:lvlJc w:val="left"/>
      <w:pPr>
        <w:ind w:left="1080" w:hanging="360"/>
      </w:pPr>
      <w:rPr>
        <w:rFonts w:ascii="Arial" w:eastAsia="Calibr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0" w15:restartNumberingAfterBreak="0">
    <w:nsid w:val="3A520AD3"/>
    <w:multiLevelType w:val="hybridMultilevel"/>
    <w:tmpl w:val="A6BE6F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C746B96"/>
    <w:multiLevelType w:val="hybridMultilevel"/>
    <w:tmpl w:val="4A169742"/>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15:restartNumberingAfterBreak="0">
    <w:nsid w:val="3C9A1F0D"/>
    <w:multiLevelType w:val="hybridMultilevel"/>
    <w:tmpl w:val="CB064DD0"/>
    <w:lvl w:ilvl="0" w:tplc="2D7C4ADE">
      <w:start w:val="1"/>
      <w:numFmt w:val="decimal"/>
      <w:pStyle w:val="boxnumli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DD78FD"/>
    <w:multiLevelType w:val="hybridMultilevel"/>
    <w:tmpl w:val="099ABC24"/>
    <w:lvl w:ilvl="0" w:tplc="42E6DFA0">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4" w15:restartNumberingAfterBreak="0">
    <w:nsid w:val="3F1F36FD"/>
    <w:multiLevelType w:val="hybridMultilevel"/>
    <w:tmpl w:val="4594D2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18A07C4"/>
    <w:multiLevelType w:val="hybridMultilevel"/>
    <w:tmpl w:val="91829F1A"/>
    <w:lvl w:ilvl="0" w:tplc="414451AC">
      <w:start w:val="1"/>
      <w:numFmt w:val="lowerRoman"/>
      <w:pStyle w:val="Boxnumbering3rdleve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6" w15:restartNumberingAfterBreak="0">
    <w:nsid w:val="428653AA"/>
    <w:multiLevelType w:val="hybridMultilevel"/>
    <w:tmpl w:val="BE927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3166406"/>
    <w:multiLevelType w:val="hybridMultilevel"/>
    <w:tmpl w:val="4594D2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3426F60"/>
    <w:multiLevelType w:val="hybridMultilevel"/>
    <w:tmpl w:val="3A6CB65E"/>
    <w:lvl w:ilvl="0" w:tplc="37CCD9F4">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9" w15:restartNumberingAfterBreak="0">
    <w:nsid w:val="43822672"/>
    <w:multiLevelType w:val="hybridMultilevel"/>
    <w:tmpl w:val="5A5600AC"/>
    <w:lvl w:ilvl="0" w:tplc="0409001B">
      <w:start w:val="1"/>
      <w:numFmt w:val="lowerRoman"/>
      <w:lvlText w:val="%1."/>
      <w:lvlJc w:val="right"/>
      <w:pPr>
        <w:ind w:left="2160" w:hanging="18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440775EC"/>
    <w:multiLevelType w:val="hybridMultilevel"/>
    <w:tmpl w:val="BCB879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5F16BBD"/>
    <w:multiLevelType w:val="hybridMultilevel"/>
    <w:tmpl w:val="F18ACA06"/>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2" w15:restartNumberingAfterBreak="0">
    <w:nsid w:val="479D2389"/>
    <w:multiLevelType w:val="hybridMultilevel"/>
    <w:tmpl w:val="004A8F54"/>
    <w:lvl w:ilvl="0" w:tplc="CA883A32">
      <w:start w:val="1"/>
      <w:numFmt w:val="lowerLetter"/>
      <w:lvlText w:val="%1."/>
      <w:lvlJc w:val="left"/>
      <w:pPr>
        <w:ind w:left="786" w:hanging="360"/>
      </w:pPr>
      <w:rPr>
        <w:rFonts w:hint="default"/>
      </w:rPr>
    </w:lvl>
    <w:lvl w:ilvl="1" w:tplc="81F8953C">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15:restartNumberingAfterBreak="0">
    <w:nsid w:val="4B012B24"/>
    <w:multiLevelType w:val="hybridMultilevel"/>
    <w:tmpl w:val="AF76B566"/>
    <w:lvl w:ilvl="0" w:tplc="C136DB1E">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BE713FF"/>
    <w:multiLevelType w:val="hybridMultilevel"/>
    <w:tmpl w:val="BCB879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4C4A66A2"/>
    <w:multiLevelType w:val="hybridMultilevel"/>
    <w:tmpl w:val="46F8FB00"/>
    <w:lvl w:ilvl="0" w:tplc="BA98CBEA">
      <w:start w:val="1"/>
      <w:numFmt w:val="bullet"/>
      <w:lvlText w:val="-"/>
      <w:lvlJc w:val="left"/>
      <w:pPr>
        <w:ind w:left="720" w:hanging="360"/>
      </w:pPr>
      <w:rPr>
        <w:rFonts w:ascii="Calibri" w:eastAsiaTheme="minorHAnsi" w:hAnsi="Calibri" w:cstheme="minorBid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D3A70F6"/>
    <w:multiLevelType w:val="hybridMultilevel"/>
    <w:tmpl w:val="411653BA"/>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7" w15:restartNumberingAfterBreak="0">
    <w:nsid w:val="4E8C03A1"/>
    <w:multiLevelType w:val="hybridMultilevel"/>
    <w:tmpl w:val="B874F160"/>
    <w:lvl w:ilvl="0" w:tplc="26C0F6EE">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 w15:restartNumberingAfterBreak="0">
    <w:nsid w:val="4FF70681"/>
    <w:multiLevelType w:val="hybridMultilevel"/>
    <w:tmpl w:val="51326444"/>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9" w15:restartNumberingAfterBreak="0">
    <w:nsid w:val="50064CB9"/>
    <w:multiLevelType w:val="hybridMultilevel"/>
    <w:tmpl w:val="5A5600AC"/>
    <w:lvl w:ilvl="0" w:tplc="0409001B">
      <w:start w:val="1"/>
      <w:numFmt w:val="lowerRoman"/>
      <w:lvlText w:val="%1."/>
      <w:lvlJc w:val="right"/>
      <w:pPr>
        <w:ind w:left="2160" w:hanging="18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50994A66"/>
    <w:multiLevelType w:val="hybridMultilevel"/>
    <w:tmpl w:val="D0B8E072"/>
    <w:lvl w:ilvl="0" w:tplc="EB9C465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51BE271C"/>
    <w:multiLevelType w:val="hybridMultilevel"/>
    <w:tmpl w:val="CBBCA1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53517F76"/>
    <w:multiLevelType w:val="hybridMultilevel"/>
    <w:tmpl w:val="411653BA"/>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3" w15:restartNumberingAfterBreak="0">
    <w:nsid w:val="554E4F73"/>
    <w:multiLevelType w:val="hybridMultilevel"/>
    <w:tmpl w:val="8C029EFC"/>
    <w:lvl w:ilvl="0" w:tplc="04100019">
      <w:start w:val="1"/>
      <w:numFmt w:val="lowerLetter"/>
      <w:lvlText w:val="%1."/>
      <w:lvlJc w:val="left"/>
      <w:pPr>
        <w:ind w:left="108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8811FB"/>
    <w:multiLevelType w:val="hybridMultilevel"/>
    <w:tmpl w:val="5A5600AC"/>
    <w:lvl w:ilvl="0" w:tplc="0409001B">
      <w:start w:val="1"/>
      <w:numFmt w:val="lowerRoman"/>
      <w:lvlText w:val="%1."/>
      <w:lvlJc w:val="right"/>
      <w:pPr>
        <w:ind w:left="2160" w:hanging="18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564B5064"/>
    <w:multiLevelType w:val="hybridMultilevel"/>
    <w:tmpl w:val="79C042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6BB16FB"/>
    <w:multiLevelType w:val="hybridMultilevel"/>
    <w:tmpl w:val="B798D0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70E0749"/>
    <w:multiLevelType w:val="hybridMultilevel"/>
    <w:tmpl w:val="7D28CC22"/>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8" w15:restartNumberingAfterBreak="0">
    <w:nsid w:val="597C3C4A"/>
    <w:multiLevelType w:val="hybridMultilevel"/>
    <w:tmpl w:val="004A8F54"/>
    <w:lvl w:ilvl="0" w:tplc="CA883A32">
      <w:start w:val="1"/>
      <w:numFmt w:val="lowerLetter"/>
      <w:lvlText w:val="%1."/>
      <w:lvlJc w:val="left"/>
      <w:pPr>
        <w:ind w:left="786" w:hanging="360"/>
      </w:pPr>
      <w:rPr>
        <w:rFonts w:hint="default"/>
      </w:rPr>
    </w:lvl>
    <w:lvl w:ilvl="1" w:tplc="81F8953C">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9" w15:restartNumberingAfterBreak="0">
    <w:nsid w:val="5ADA2856"/>
    <w:multiLevelType w:val="hybridMultilevel"/>
    <w:tmpl w:val="625CE2C8"/>
    <w:lvl w:ilvl="0" w:tplc="703AF41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 w15:restartNumberingAfterBreak="0">
    <w:nsid w:val="5BD67570"/>
    <w:multiLevelType w:val="hybridMultilevel"/>
    <w:tmpl w:val="08D63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CC07EF4"/>
    <w:multiLevelType w:val="hybridMultilevel"/>
    <w:tmpl w:val="004A8F54"/>
    <w:lvl w:ilvl="0" w:tplc="CA883A32">
      <w:start w:val="1"/>
      <w:numFmt w:val="lowerLetter"/>
      <w:lvlText w:val="%1."/>
      <w:lvlJc w:val="left"/>
      <w:pPr>
        <w:ind w:left="786" w:hanging="360"/>
      </w:pPr>
      <w:rPr>
        <w:rFonts w:hint="default"/>
      </w:rPr>
    </w:lvl>
    <w:lvl w:ilvl="1" w:tplc="81F8953C">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2" w15:restartNumberingAfterBreak="0">
    <w:nsid w:val="5D1F2A06"/>
    <w:multiLevelType w:val="hybridMultilevel"/>
    <w:tmpl w:val="CE088D1A"/>
    <w:lvl w:ilvl="0" w:tplc="36E8C93E">
      <w:start w:val="1"/>
      <w:numFmt w:val="lowerRoman"/>
      <w:lvlText w:val="%1.)"/>
      <w:lvlJc w:val="left"/>
      <w:pPr>
        <w:ind w:left="1080" w:hanging="360"/>
      </w:pPr>
      <w:rPr>
        <w:rFonts w:ascii="Calibri" w:eastAsia="Calibri" w:hAnsi="Calibri" w:cs="Times New Roman" w:hint="default"/>
      </w:rPr>
    </w:lvl>
    <w:lvl w:ilvl="1" w:tplc="0405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61204DC0"/>
    <w:multiLevelType w:val="hybridMultilevel"/>
    <w:tmpl w:val="14C08B2C"/>
    <w:lvl w:ilvl="0" w:tplc="9B42B2B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612757B7"/>
    <w:multiLevelType w:val="hybridMultilevel"/>
    <w:tmpl w:val="8D2E8010"/>
    <w:lvl w:ilvl="0" w:tplc="08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781420"/>
    <w:multiLevelType w:val="hybridMultilevel"/>
    <w:tmpl w:val="8C029EFC"/>
    <w:lvl w:ilvl="0" w:tplc="0410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184540D"/>
    <w:multiLevelType w:val="hybridMultilevel"/>
    <w:tmpl w:val="5682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3324F63"/>
    <w:multiLevelType w:val="hybridMultilevel"/>
    <w:tmpl w:val="A970BA1E"/>
    <w:lvl w:ilvl="0" w:tplc="B7DCEE2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8" w15:restartNumberingAfterBreak="0">
    <w:nsid w:val="63630D41"/>
    <w:multiLevelType w:val="hybridMultilevel"/>
    <w:tmpl w:val="411653BA"/>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9" w15:restartNumberingAfterBreak="0">
    <w:nsid w:val="65111B04"/>
    <w:multiLevelType w:val="hybridMultilevel"/>
    <w:tmpl w:val="5532D190"/>
    <w:lvl w:ilvl="0" w:tplc="5274BA8A">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0" w15:restartNumberingAfterBreak="0">
    <w:nsid w:val="65AA721F"/>
    <w:multiLevelType w:val="hybridMultilevel"/>
    <w:tmpl w:val="CBBCA1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1" w15:restartNumberingAfterBreak="0">
    <w:nsid w:val="67090D5C"/>
    <w:multiLevelType w:val="hybridMultilevel"/>
    <w:tmpl w:val="411653BA"/>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2" w15:restartNumberingAfterBreak="0">
    <w:nsid w:val="6742090C"/>
    <w:multiLevelType w:val="hybridMultilevel"/>
    <w:tmpl w:val="E6CEFE08"/>
    <w:lvl w:ilvl="0" w:tplc="25F8E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78230B5"/>
    <w:multiLevelType w:val="hybridMultilevel"/>
    <w:tmpl w:val="004A8F54"/>
    <w:lvl w:ilvl="0" w:tplc="CA883A32">
      <w:start w:val="1"/>
      <w:numFmt w:val="lowerLetter"/>
      <w:lvlText w:val="%1."/>
      <w:lvlJc w:val="left"/>
      <w:pPr>
        <w:ind w:left="786" w:hanging="360"/>
      </w:pPr>
      <w:rPr>
        <w:rFonts w:hint="default"/>
      </w:rPr>
    </w:lvl>
    <w:lvl w:ilvl="1" w:tplc="81F8953C">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4" w15:restartNumberingAfterBreak="0">
    <w:nsid w:val="682F1A93"/>
    <w:multiLevelType w:val="hybridMultilevel"/>
    <w:tmpl w:val="CBBCA1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5" w15:restartNumberingAfterBreak="0">
    <w:nsid w:val="68612220"/>
    <w:multiLevelType w:val="hybridMultilevel"/>
    <w:tmpl w:val="E00EF9A0"/>
    <w:lvl w:ilvl="0" w:tplc="12FC95B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6" w15:restartNumberingAfterBreak="0">
    <w:nsid w:val="68956AB3"/>
    <w:multiLevelType w:val="hybridMultilevel"/>
    <w:tmpl w:val="185266A0"/>
    <w:lvl w:ilvl="0" w:tplc="08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E784199"/>
    <w:multiLevelType w:val="hybridMultilevel"/>
    <w:tmpl w:val="9FEEE5FE"/>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8" w15:restartNumberingAfterBreak="0">
    <w:nsid w:val="6E824FB2"/>
    <w:multiLevelType w:val="hybridMultilevel"/>
    <w:tmpl w:val="83863714"/>
    <w:lvl w:ilvl="0" w:tplc="AC805F96">
      <w:start w:val="1"/>
      <w:numFmt w:val="lowerLetter"/>
      <w:lvlText w:val="%1)"/>
      <w:lvlJc w:val="left"/>
      <w:pPr>
        <w:ind w:left="928"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6FBC6028"/>
    <w:multiLevelType w:val="hybridMultilevel"/>
    <w:tmpl w:val="55EEFDC2"/>
    <w:lvl w:ilvl="0" w:tplc="ADEE2F7E">
      <w:start w:val="1"/>
      <w:numFmt w:val="lowerLetter"/>
      <w:pStyle w:val="Boxnumbering2ndleve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0B75C86"/>
    <w:multiLevelType w:val="hybridMultilevel"/>
    <w:tmpl w:val="B13483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1" w15:restartNumberingAfterBreak="0">
    <w:nsid w:val="714654DD"/>
    <w:multiLevelType w:val="hybridMultilevel"/>
    <w:tmpl w:val="EDF8C1C8"/>
    <w:lvl w:ilvl="0" w:tplc="CA883A3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19E0CD6"/>
    <w:multiLevelType w:val="hybridMultilevel"/>
    <w:tmpl w:val="411653BA"/>
    <w:lvl w:ilvl="0" w:tplc="0410000F">
      <w:start w:val="1"/>
      <w:numFmt w:val="decimal"/>
      <w:lvlText w:val="%1."/>
      <w:lvlJc w:val="left"/>
      <w:pPr>
        <w:ind w:left="360" w:hanging="360"/>
      </w:pPr>
    </w:lvl>
    <w:lvl w:ilvl="1" w:tplc="0813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3" w15:restartNumberingAfterBreak="0">
    <w:nsid w:val="71CA2D5E"/>
    <w:multiLevelType w:val="hybridMultilevel"/>
    <w:tmpl w:val="73EC7F2C"/>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4" w15:restartNumberingAfterBreak="0">
    <w:nsid w:val="754705A8"/>
    <w:multiLevelType w:val="hybridMultilevel"/>
    <w:tmpl w:val="510A7D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15:restartNumberingAfterBreak="0">
    <w:nsid w:val="75700C96"/>
    <w:multiLevelType w:val="hybridMultilevel"/>
    <w:tmpl w:val="4594D2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6184267"/>
    <w:multiLevelType w:val="hybridMultilevel"/>
    <w:tmpl w:val="5C0226AE"/>
    <w:lvl w:ilvl="0" w:tplc="0410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773510A"/>
    <w:multiLevelType w:val="hybridMultilevel"/>
    <w:tmpl w:val="8C029EFC"/>
    <w:lvl w:ilvl="0" w:tplc="0410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7AA1541"/>
    <w:multiLevelType w:val="hybridMultilevel"/>
    <w:tmpl w:val="B1E641CE"/>
    <w:lvl w:ilvl="0" w:tplc="08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9377CF8"/>
    <w:multiLevelType w:val="hybridMultilevel"/>
    <w:tmpl w:val="00901114"/>
    <w:lvl w:ilvl="0" w:tplc="0409000F">
      <w:start w:val="1"/>
      <w:numFmt w:val="decimal"/>
      <w:lvlText w:val="%1."/>
      <w:lvlJc w:val="left"/>
      <w:pPr>
        <w:ind w:left="720" w:hanging="360"/>
      </w:pPr>
      <w:rPr>
        <w:rFonts w:hint="default"/>
      </w:rPr>
    </w:lvl>
    <w:lvl w:ilvl="1" w:tplc="81F895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A3B0EFF"/>
    <w:multiLevelType w:val="hybridMultilevel"/>
    <w:tmpl w:val="1F044E60"/>
    <w:lvl w:ilvl="0" w:tplc="0409000F">
      <w:start w:val="1"/>
      <w:numFmt w:val="decimal"/>
      <w:lvlText w:val="%1."/>
      <w:lvlJc w:val="left"/>
      <w:pPr>
        <w:ind w:left="502"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1" w15:restartNumberingAfterBreak="0">
    <w:nsid w:val="7BD616B7"/>
    <w:multiLevelType w:val="hybridMultilevel"/>
    <w:tmpl w:val="36665E60"/>
    <w:lvl w:ilvl="0" w:tplc="48FA082C">
      <w:start w:val="3"/>
      <w:numFmt w:val="bullet"/>
      <w:lvlText w:val="-"/>
      <w:lvlJc w:val="left"/>
      <w:pPr>
        <w:ind w:left="360" w:hanging="360"/>
      </w:pPr>
      <w:rPr>
        <w:rFonts w:ascii="Calibri" w:eastAsiaTheme="minorHAnsi" w:hAnsi="Calibri" w:cstheme="minorBidi" w:hint="default"/>
      </w:rPr>
    </w:lvl>
    <w:lvl w:ilvl="1" w:tplc="8B887FF6">
      <w:numFmt w:val="bullet"/>
      <w:lvlText w:val="-"/>
      <w:lvlJc w:val="left"/>
      <w:pPr>
        <w:ind w:left="1080" w:hanging="360"/>
      </w:pPr>
      <w:rPr>
        <w:rFonts w:ascii="Calibri" w:eastAsiaTheme="minorHAnsi" w:hAnsi="Calibri" w:cstheme="minorBidi"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12" w15:restartNumberingAfterBreak="0">
    <w:nsid w:val="7C790264"/>
    <w:multiLevelType w:val="hybridMultilevel"/>
    <w:tmpl w:val="4594D2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95"/>
  </w:num>
  <w:num w:numId="3">
    <w:abstractNumId w:val="9"/>
  </w:num>
  <w:num w:numId="4">
    <w:abstractNumId w:val="26"/>
  </w:num>
  <w:num w:numId="5">
    <w:abstractNumId w:val="0"/>
  </w:num>
  <w:num w:numId="6">
    <w:abstractNumId w:val="109"/>
  </w:num>
  <w:num w:numId="7">
    <w:abstractNumId w:val="23"/>
  </w:num>
  <w:num w:numId="8">
    <w:abstractNumId w:val="75"/>
  </w:num>
  <w:num w:numId="9">
    <w:abstractNumId w:val="112"/>
  </w:num>
  <w:num w:numId="10">
    <w:abstractNumId w:val="84"/>
  </w:num>
  <w:num w:numId="11">
    <w:abstractNumId w:val="32"/>
  </w:num>
  <w:num w:numId="12">
    <w:abstractNumId w:val="41"/>
  </w:num>
  <w:num w:numId="13">
    <w:abstractNumId w:val="54"/>
  </w:num>
  <w:num w:numId="14">
    <w:abstractNumId w:val="105"/>
  </w:num>
  <w:num w:numId="15">
    <w:abstractNumId w:val="60"/>
  </w:num>
  <w:num w:numId="16">
    <w:abstractNumId w:val="108"/>
  </w:num>
  <w:num w:numId="17">
    <w:abstractNumId w:val="50"/>
  </w:num>
  <w:num w:numId="18">
    <w:abstractNumId w:val="57"/>
  </w:num>
  <w:num w:numId="19">
    <w:abstractNumId w:val="45"/>
  </w:num>
  <w:num w:numId="20">
    <w:abstractNumId w:val="99"/>
  </w:num>
  <w:num w:numId="21">
    <w:abstractNumId w:val="55"/>
  </w:num>
  <w:num w:numId="22">
    <w:abstractNumId w:val="52"/>
  </w:num>
  <w:num w:numId="23">
    <w:abstractNumId w:val="42"/>
  </w:num>
  <w:num w:numId="24">
    <w:abstractNumId w:val="101"/>
  </w:num>
  <w:num w:numId="25">
    <w:abstractNumId w:val="62"/>
  </w:num>
  <w:num w:numId="26">
    <w:abstractNumId w:val="5"/>
  </w:num>
  <w:num w:numId="27">
    <w:abstractNumId w:val="106"/>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12"/>
  </w:num>
  <w:num w:numId="42">
    <w:abstractNumId w:val="24"/>
  </w:num>
  <w:num w:numId="43">
    <w:abstractNumId w:val="51"/>
  </w:num>
  <w:num w:numId="44">
    <w:abstractNumId w:val="97"/>
  </w:num>
  <w:num w:numId="45">
    <w:abstractNumId w:val="3"/>
  </w:num>
  <w:num w:numId="46">
    <w:abstractNumId w:val="68"/>
  </w:num>
  <w:num w:numId="47">
    <w:abstractNumId w:val="103"/>
  </w:num>
  <w:num w:numId="48">
    <w:abstractNumId w:val="47"/>
  </w:num>
  <w:num w:numId="49">
    <w:abstractNumId w:val="77"/>
  </w:num>
  <w:num w:numId="50">
    <w:abstractNumId w:val="61"/>
  </w:num>
  <w:num w:numId="51">
    <w:abstractNumId w:val="8"/>
  </w:num>
  <w:num w:numId="52">
    <w:abstractNumId w:val="28"/>
  </w:num>
  <w:num w:numId="53">
    <w:abstractNumId w:val="46"/>
  </w:num>
  <w:num w:numId="54">
    <w:abstractNumId w:val="30"/>
  </w:num>
  <w:num w:numId="55">
    <w:abstractNumId w:val="76"/>
  </w:num>
  <w:num w:numId="56">
    <w:abstractNumId w:val="100"/>
  </w:num>
  <w:num w:numId="57">
    <w:abstractNumId w:val="104"/>
  </w:num>
  <w:num w:numId="58">
    <w:abstractNumId w:val="11"/>
  </w:num>
  <w:num w:numId="59">
    <w:abstractNumId w:val="76"/>
  </w:num>
  <w:num w:numId="60">
    <w:abstractNumId w:val="100"/>
  </w:num>
  <w:num w:numId="61">
    <w:abstractNumId w:val="11"/>
  </w:num>
  <w:num w:numId="62">
    <w:abstractNumId w:val="104"/>
  </w:num>
  <w:num w:numId="63">
    <w:abstractNumId w:val="49"/>
  </w:num>
  <w:num w:numId="64">
    <w:abstractNumId w:val="18"/>
  </w:num>
  <w:num w:numId="65">
    <w:abstractNumId w:val="22"/>
  </w:num>
  <w:num w:numId="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num>
  <w:num w:numId="68">
    <w:abstractNumId w:val="65"/>
  </w:num>
  <w:num w:numId="69">
    <w:abstractNumId w:val="28"/>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num>
  <w:num w:numId="72">
    <w:abstractNumId w:val="77"/>
  </w:num>
  <w:num w:numId="73">
    <w:abstractNumId w:val="47"/>
  </w:num>
  <w:num w:numId="74">
    <w:abstractNumId w:val="103"/>
  </w:num>
  <w:num w:numId="75">
    <w:abstractNumId w:val="29"/>
  </w:num>
  <w:num w:numId="76">
    <w:abstractNumId w:val="68"/>
  </w:num>
  <w:num w:numId="77">
    <w:abstractNumId w:val="3"/>
  </w:num>
  <w:num w:numId="78">
    <w:abstractNumId w:val="97"/>
  </w:num>
  <w:num w:numId="79">
    <w:abstractNumId w:val="111"/>
  </w:num>
  <w:num w:numId="80">
    <w:abstractNumId w:val="51"/>
  </w:num>
  <w:num w:numId="81">
    <w:abstractNumId w:val="24"/>
  </w:num>
  <w:num w:numId="82">
    <w:abstractNumId w:val="43"/>
  </w:num>
  <w:num w:numId="83">
    <w:abstractNumId w:val="39"/>
  </w:num>
  <w:num w:numId="84">
    <w:abstractNumId w:val="70"/>
  </w:num>
  <w:num w:numId="85">
    <w:abstractNumId w:val="13"/>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lvlOverride w:ilvl="2"/>
    <w:lvlOverride w:ilvl="3"/>
    <w:lvlOverride w:ilvl="4"/>
    <w:lvlOverride w:ilvl="5"/>
    <w:lvlOverride w:ilvl="6"/>
    <w:lvlOverride w:ilvl="7"/>
    <w:lvlOverride w:ilvl="8"/>
  </w:num>
  <w:num w:numId="88">
    <w:abstractNumId w:val="27"/>
    <w:lvlOverride w:ilvl="0">
      <w:startOverride w:val="1"/>
    </w:lvlOverride>
    <w:lvlOverride w:ilvl="1"/>
    <w:lvlOverride w:ilvl="2"/>
    <w:lvlOverride w:ilvl="3"/>
    <w:lvlOverride w:ilvl="4"/>
    <w:lvlOverride w:ilvl="5"/>
    <w:lvlOverride w:ilvl="6"/>
    <w:lvlOverride w:ilvl="7"/>
    <w:lvlOverride w:ilvl="8"/>
  </w:num>
  <w:num w:numId="89">
    <w:abstractNumId w:val="53"/>
  </w:num>
  <w:num w:numId="90">
    <w:abstractNumId w:val="7"/>
  </w:num>
  <w:num w:numId="91">
    <w:abstractNumId w:val="90"/>
  </w:num>
  <w:num w:numId="92">
    <w:abstractNumId w:val="110"/>
  </w:num>
  <w:num w:numId="93">
    <w:abstractNumId w:val="4"/>
  </w:num>
  <w:num w:numId="94">
    <w:abstractNumId w:val="94"/>
  </w:num>
  <w:num w:numId="95">
    <w:abstractNumId w:val="96"/>
  </w:num>
  <w:num w:numId="96">
    <w:abstractNumId w:val="38"/>
  </w:num>
  <w:num w:numId="97">
    <w:abstractNumId w:val="40"/>
  </w:num>
  <w:num w:numId="98">
    <w:abstractNumId w:val="71"/>
  </w:num>
  <w:num w:numId="99">
    <w:abstractNumId w:val="98"/>
  </w:num>
  <w:num w:numId="100">
    <w:abstractNumId w:val="20"/>
  </w:num>
  <w:num w:numId="101">
    <w:abstractNumId w:val="17"/>
  </w:num>
  <w:num w:numId="102">
    <w:abstractNumId w:val="102"/>
  </w:num>
  <w:num w:numId="103">
    <w:abstractNumId w:val="36"/>
  </w:num>
  <w:num w:numId="104">
    <w:abstractNumId w:val="88"/>
  </w:num>
  <w:num w:numId="105">
    <w:abstractNumId w:val="91"/>
  </w:num>
  <w:num w:numId="106">
    <w:abstractNumId w:val="14"/>
  </w:num>
  <w:num w:numId="107">
    <w:abstractNumId w:val="34"/>
  </w:num>
  <w:num w:numId="108">
    <w:abstractNumId w:val="107"/>
  </w:num>
  <w:num w:numId="109">
    <w:abstractNumId w:val="85"/>
  </w:num>
  <w:num w:numId="110">
    <w:abstractNumId w:val="66"/>
  </w:num>
  <w:num w:numId="111">
    <w:abstractNumId w:val="72"/>
  </w:num>
  <w:num w:numId="112">
    <w:abstractNumId w:val="48"/>
  </w:num>
  <w:num w:numId="113">
    <w:abstractNumId w:val="73"/>
  </w:num>
  <w:num w:numId="114">
    <w:abstractNumId w:val="1"/>
  </w:num>
  <w:num w:numId="115">
    <w:abstractNumId w:val="33"/>
  </w:num>
  <w:num w:numId="116">
    <w:abstractNumId w:val="25"/>
  </w:num>
  <w:num w:numId="117">
    <w:abstractNumId w:val="19"/>
  </w:num>
  <w:num w:numId="118">
    <w:abstractNumId w:val="15"/>
  </w:num>
  <w:num w:numId="119">
    <w:abstractNumId w:val="82"/>
  </w:num>
  <w:num w:numId="120">
    <w:abstractNumId w:val="93"/>
  </w:num>
  <w:num w:numId="121">
    <w:abstractNumId w:val="81"/>
  </w:num>
  <w:num w:numId="122">
    <w:abstractNumId w:val="78"/>
  </w:num>
  <w:num w:numId="123">
    <w:abstractNumId w:val="59"/>
  </w:num>
  <w:num w:numId="124">
    <w:abstractNumId w:val="74"/>
  </w:num>
  <w:num w:numId="125">
    <w:abstractNumId w:val="69"/>
  </w:num>
  <w:num w:numId="126">
    <w:abstractNumId w:val="92"/>
  </w:num>
  <w:num w:numId="127">
    <w:abstractNumId w:val="80"/>
  </w:num>
  <w:num w:numId="128">
    <w:abstractNumId w:val="2"/>
  </w:num>
  <w:num w:numId="129">
    <w:abstractNumId w:val="86"/>
  </w:num>
  <w:num w:numId="130">
    <w:abstractNumId w:val="5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C2"/>
    <w:rsid w:val="00001382"/>
    <w:rsid w:val="000016FD"/>
    <w:rsid w:val="000026BB"/>
    <w:rsid w:val="0000287B"/>
    <w:rsid w:val="000045D1"/>
    <w:rsid w:val="00004A2B"/>
    <w:rsid w:val="000052F8"/>
    <w:rsid w:val="00007354"/>
    <w:rsid w:val="0000737E"/>
    <w:rsid w:val="00010EDC"/>
    <w:rsid w:val="0001240C"/>
    <w:rsid w:val="00015228"/>
    <w:rsid w:val="00015460"/>
    <w:rsid w:val="00015E0F"/>
    <w:rsid w:val="00015FB3"/>
    <w:rsid w:val="00015FDD"/>
    <w:rsid w:val="0002068D"/>
    <w:rsid w:val="00020CA2"/>
    <w:rsid w:val="00020E53"/>
    <w:rsid w:val="00022877"/>
    <w:rsid w:val="0002300C"/>
    <w:rsid w:val="00024524"/>
    <w:rsid w:val="00026FBD"/>
    <w:rsid w:val="0003144D"/>
    <w:rsid w:val="0003374C"/>
    <w:rsid w:val="000346F7"/>
    <w:rsid w:val="000350E9"/>
    <w:rsid w:val="00037060"/>
    <w:rsid w:val="00041133"/>
    <w:rsid w:val="000425BC"/>
    <w:rsid w:val="00042793"/>
    <w:rsid w:val="000428B2"/>
    <w:rsid w:val="00043414"/>
    <w:rsid w:val="00043438"/>
    <w:rsid w:val="00043BBE"/>
    <w:rsid w:val="0004482E"/>
    <w:rsid w:val="00044858"/>
    <w:rsid w:val="00044F86"/>
    <w:rsid w:val="000453FA"/>
    <w:rsid w:val="00051F62"/>
    <w:rsid w:val="00053314"/>
    <w:rsid w:val="000537CF"/>
    <w:rsid w:val="000549D9"/>
    <w:rsid w:val="0005653F"/>
    <w:rsid w:val="000610CC"/>
    <w:rsid w:val="00061236"/>
    <w:rsid w:val="000618A0"/>
    <w:rsid w:val="00061B1C"/>
    <w:rsid w:val="0006650C"/>
    <w:rsid w:val="000666AE"/>
    <w:rsid w:val="00066E29"/>
    <w:rsid w:val="00067C35"/>
    <w:rsid w:val="000724C2"/>
    <w:rsid w:val="00072F5D"/>
    <w:rsid w:val="00074AD7"/>
    <w:rsid w:val="000758D9"/>
    <w:rsid w:val="00075BC8"/>
    <w:rsid w:val="000763A5"/>
    <w:rsid w:val="0007686E"/>
    <w:rsid w:val="000774CC"/>
    <w:rsid w:val="000802AF"/>
    <w:rsid w:val="0008071F"/>
    <w:rsid w:val="00081B83"/>
    <w:rsid w:val="0008402F"/>
    <w:rsid w:val="00084206"/>
    <w:rsid w:val="000859B8"/>
    <w:rsid w:val="00085ACC"/>
    <w:rsid w:val="000862FF"/>
    <w:rsid w:val="00086C0A"/>
    <w:rsid w:val="00090920"/>
    <w:rsid w:val="000917F6"/>
    <w:rsid w:val="000926B1"/>
    <w:rsid w:val="00093145"/>
    <w:rsid w:val="0009353A"/>
    <w:rsid w:val="00094DFB"/>
    <w:rsid w:val="0009523B"/>
    <w:rsid w:val="00096454"/>
    <w:rsid w:val="00096759"/>
    <w:rsid w:val="0009686C"/>
    <w:rsid w:val="000A0686"/>
    <w:rsid w:val="000A1579"/>
    <w:rsid w:val="000A2C23"/>
    <w:rsid w:val="000A4F05"/>
    <w:rsid w:val="000A6DB6"/>
    <w:rsid w:val="000A73D3"/>
    <w:rsid w:val="000B0FEF"/>
    <w:rsid w:val="000B3EE1"/>
    <w:rsid w:val="000B4F4C"/>
    <w:rsid w:val="000B5E7A"/>
    <w:rsid w:val="000B644C"/>
    <w:rsid w:val="000B6A98"/>
    <w:rsid w:val="000B744D"/>
    <w:rsid w:val="000C10D0"/>
    <w:rsid w:val="000C2E2C"/>
    <w:rsid w:val="000C3977"/>
    <w:rsid w:val="000C51F4"/>
    <w:rsid w:val="000C6110"/>
    <w:rsid w:val="000C626F"/>
    <w:rsid w:val="000C743E"/>
    <w:rsid w:val="000C7747"/>
    <w:rsid w:val="000C7E88"/>
    <w:rsid w:val="000D03EA"/>
    <w:rsid w:val="000D2901"/>
    <w:rsid w:val="000D3A9A"/>
    <w:rsid w:val="000D3E7B"/>
    <w:rsid w:val="000D5961"/>
    <w:rsid w:val="000D5983"/>
    <w:rsid w:val="000D6472"/>
    <w:rsid w:val="000E016D"/>
    <w:rsid w:val="000E1543"/>
    <w:rsid w:val="000E2345"/>
    <w:rsid w:val="000E47E3"/>
    <w:rsid w:val="000E53B0"/>
    <w:rsid w:val="000E65B0"/>
    <w:rsid w:val="000E6F40"/>
    <w:rsid w:val="000F468C"/>
    <w:rsid w:val="000F5220"/>
    <w:rsid w:val="000F5735"/>
    <w:rsid w:val="0010070A"/>
    <w:rsid w:val="00101007"/>
    <w:rsid w:val="001010AB"/>
    <w:rsid w:val="00102525"/>
    <w:rsid w:val="00103DEC"/>
    <w:rsid w:val="00104839"/>
    <w:rsid w:val="001054EC"/>
    <w:rsid w:val="00105618"/>
    <w:rsid w:val="0010772A"/>
    <w:rsid w:val="00107FD5"/>
    <w:rsid w:val="001115A9"/>
    <w:rsid w:val="00111E6F"/>
    <w:rsid w:val="0011367B"/>
    <w:rsid w:val="001140C8"/>
    <w:rsid w:val="0011487F"/>
    <w:rsid w:val="00114E18"/>
    <w:rsid w:val="00117935"/>
    <w:rsid w:val="00120B38"/>
    <w:rsid w:val="00121EB0"/>
    <w:rsid w:val="001223DA"/>
    <w:rsid w:val="00122965"/>
    <w:rsid w:val="00122C7D"/>
    <w:rsid w:val="00122FCB"/>
    <w:rsid w:val="00123561"/>
    <w:rsid w:val="001241D3"/>
    <w:rsid w:val="00124381"/>
    <w:rsid w:val="0012539B"/>
    <w:rsid w:val="00125EF5"/>
    <w:rsid w:val="00126678"/>
    <w:rsid w:val="001277E8"/>
    <w:rsid w:val="0013098B"/>
    <w:rsid w:val="00130FE5"/>
    <w:rsid w:val="00131573"/>
    <w:rsid w:val="00132BE1"/>
    <w:rsid w:val="00133144"/>
    <w:rsid w:val="00135972"/>
    <w:rsid w:val="00135B25"/>
    <w:rsid w:val="0013760E"/>
    <w:rsid w:val="00140A38"/>
    <w:rsid w:val="00141A99"/>
    <w:rsid w:val="001435EB"/>
    <w:rsid w:val="00150B63"/>
    <w:rsid w:val="00151C8E"/>
    <w:rsid w:val="0015233E"/>
    <w:rsid w:val="00152B0F"/>
    <w:rsid w:val="00152C09"/>
    <w:rsid w:val="001549B9"/>
    <w:rsid w:val="001566FB"/>
    <w:rsid w:val="00160B30"/>
    <w:rsid w:val="00163664"/>
    <w:rsid w:val="001647DE"/>
    <w:rsid w:val="00164B41"/>
    <w:rsid w:val="00167F62"/>
    <w:rsid w:val="0017114A"/>
    <w:rsid w:val="001715D5"/>
    <w:rsid w:val="00172F80"/>
    <w:rsid w:val="0017469F"/>
    <w:rsid w:val="00174B30"/>
    <w:rsid w:val="00175B4D"/>
    <w:rsid w:val="00176942"/>
    <w:rsid w:val="00176A7A"/>
    <w:rsid w:val="0017754D"/>
    <w:rsid w:val="00181142"/>
    <w:rsid w:val="0018350E"/>
    <w:rsid w:val="00183853"/>
    <w:rsid w:val="00183BFB"/>
    <w:rsid w:val="0018642A"/>
    <w:rsid w:val="00186F31"/>
    <w:rsid w:val="001926F9"/>
    <w:rsid w:val="00194BC8"/>
    <w:rsid w:val="00194C95"/>
    <w:rsid w:val="00195600"/>
    <w:rsid w:val="001973A2"/>
    <w:rsid w:val="001A1C7D"/>
    <w:rsid w:val="001A2140"/>
    <w:rsid w:val="001A2CC5"/>
    <w:rsid w:val="001A59EB"/>
    <w:rsid w:val="001A6C3E"/>
    <w:rsid w:val="001A6F20"/>
    <w:rsid w:val="001A7F1C"/>
    <w:rsid w:val="001B0F04"/>
    <w:rsid w:val="001B1CD5"/>
    <w:rsid w:val="001B24E7"/>
    <w:rsid w:val="001B2934"/>
    <w:rsid w:val="001B34CC"/>
    <w:rsid w:val="001B3611"/>
    <w:rsid w:val="001B55E2"/>
    <w:rsid w:val="001B57E6"/>
    <w:rsid w:val="001B7B9E"/>
    <w:rsid w:val="001C3CF4"/>
    <w:rsid w:val="001C4259"/>
    <w:rsid w:val="001C5F71"/>
    <w:rsid w:val="001C7135"/>
    <w:rsid w:val="001C75F5"/>
    <w:rsid w:val="001C7BEC"/>
    <w:rsid w:val="001D2A2A"/>
    <w:rsid w:val="001D4465"/>
    <w:rsid w:val="001D5798"/>
    <w:rsid w:val="001D57A4"/>
    <w:rsid w:val="001E080F"/>
    <w:rsid w:val="001E2499"/>
    <w:rsid w:val="001E2DE0"/>
    <w:rsid w:val="001E371A"/>
    <w:rsid w:val="001E43EA"/>
    <w:rsid w:val="001E4712"/>
    <w:rsid w:val="001E5D2E"/>
    <w:rsid w:val="001E5D9D"/>
    <w:rsid w:val="001E725A"/>
    <w:rsid w:val="001E7F74"/>
    <w:rsid w:val="001F039C"/>
    <w:rsid w:val="001F03F8"/>
    <w:rsid w:val="001F0434"/>
    <w:rsid w:val="001F0A76"/>
    <w:rsid w:val="001F1330"/>
    <w:rsid w:val="001F1CD8"/>
    <w:rsid w:val="001F47CC"/>
    <w:rsid w:val="001F5733"/>
    <w:rsid w:val="001F741D"/>
    <w:rsid w:val="001F7446"/>
    <w:rsid w:val="0020140C"/>
    <w:rsid w:val="00201DBC"/>
    <w:rsid w:val="00202889"/>
    <w:rsid w:val="00207777"/>
    <w:rsid w:val="00207FFD"/>
    <w:rsid w:val="00211775"/>
    <w:rsid w:val="00216546"/>
    <w:rsid w:val="00216AC6"/>
    <w:rsid w:val="00216D83"/>
    <w:rsid w:val="00217715"/>
    <w:rsid w:val="0022068C"/>
    <w:rsid w:val="002208ED"/>
    <w:rsid w:val="00220B18"/>
    <w:rsid w:val="00220E00"/>
    <w:rsid w:val="00221E45"/>
    <w:rsid w:val="00222F2E"/>
    <w:rsid w:val="0022416D"/>
    <w:rsid w:val="002242DB"/>
    <w:rsid w:val="00226DFC"/>
    <w:rsid w:val="0023009A"/>
    <w:rsid w:val="00233FFA"/>
    <w:rsid w:val="00234FF2"/>
    <w:rsid w:val="00235C49"/>
    <w:rsid w:val="00235DA9"/>
    <w:rsid w:val="0023755E"/>
    <w:rsid w:val="00237BEE"/>
    <w:rsid w:val="00237E6B"/>
    <w:rsid w:val="00240E2D"/>
    <w:rsid w:val="00240EAB"/>
    <w:rsid w:val="002410EA"/>
    <w:rsid w:val="0024191F"/>
    <w:rsid w:val="002426C4"/>
    <w:rsid w:val="002433C6"/>
    <w:rsid w:val="00243763"/>
    <w:rsid w:val="00243979"/>
    <w:rsid w:val="00243CC5"/>
    <w:rsid w:val="00243FFC"/>
    <w:rsid w:val="0024419C"/>
    <w:rsid w:val="0024772C"/>
    <w:rsid w:val="0024798F"/>
    <w:rsid w:val="00250257"/>
    <w:rsid w:val="00251D92"/>
    <w:rsid w:val="00251E7C"/>
    <w:rsid w:val="002521F5"/>
    <w:rsid w:val="0025223C"/>
    <w:rsid w:val="0026009D"/>
    <w:rsid w:val="002602E7"/>
    <w:rsid w:val="0026258A"/>
    <w:rsid w:val="0026272E"/>
    <w:rsid w:val="00262C56"/>
    <w:rsid w:val="00263624"/>
    <w:rsid w:val="00263C9D"/>
    <w:rsid w:val="0026654B"/>
    <w:rsid w:val="00267B86"/>
    <w:rsid w:val="002736A6"/>
    <w:rsid w:val="00273C1F"/>
    <w:rsid w:val="00275C18"/>
    <w:rsid w:val="00280331"/>
    <w:rsid w:val="002805FA"/>
    <w:rsid w:val="00280ECD"/>
    <w:rsid w:val="0028108C"/>
    <w:rsid w:val="002839D8"/>
    <w:rsid w:val="00283C34"/>
    <w:rsid w:val="00283F49"/>
    <w:rsid w:val="002849C2"/>
    <w:rsid w:val="00291BBA"/>
    <w:rsid w:val="00294659"/>
    <w:rsid w:val="002969D1"/>
    <w:rsid w:val="002975BA"/>
    <w:rsid w:val="002A1731"/>
    <w:rsid w:val="002A1F9C"/>
    <w:rsid w:val="002A46FC"/>
    <w:rsid w:val="002A5912"/>
    <w:rsid w:val="002A6FC5"/>
    <w:rsid w:val="002A7F30"/>
    <w:rsid w:val="002B0345"/>
    <w:rsid w:val="002B1657"/>
    <w:rsid w:val="002B1BC7"/>
    <w:rsid w:val="002B1E4F"/>
    <w:rsid w:val="002B2D75"/>
    <w:rsid w:val="002C35B1"/>
    <w:rsid w:val="002C59AA"/>
    <w:rsid w:val="002C6A39"/>
    <w:rsid w:val="002C6E77"/>
    <w:rsid w:val="002C7230"/>
    <w:rsid w:val="002D1114"/>
    <w:rsid w:val="002D1EAA"/>
    <w:rsid w:val="002D21A0"/>
    <w:rsid w:val="002D339F"/>
    <w:rsid w:val="002D523A"/>
    <w:rsid w:val="002D55FD"/>
    <w:rsid w:val="002D6166"/>
    <w:rsid w:val="002E00A2"/>
    <w:rsid w:val="002E01F8"/>
    <w:rsid w:val="002E02B8"/>
    <w:rsid w:val="002E08AA"/>
    <w:rsid w:val="002E3075"/>
    <w:rsid w:val="002E49EF"/>
    <w:rsid w:val="002E6286"/>
    <w:rsid w:val="002F0405"/>
    <w:rsid w:val="002F1056"/>
    <w:rsid w:val="002F1225"/>
    <w:rsid w:val="002F127A"/>
    <w:rsid w:val="002F2FFC"/>
    <w:rsid w:val="002F3B16"/>
    <w:rsid w:val="002F4096"/>
    <w:rsid w:val="002F5AD0"/>
    <w:rsid w:val="002F6586"/>
    <w:rsid w:val="00300990"/>
    <w:rsid w:val="00302650"/>
    <w:rsid w:val="00302DEE"/>
    <w:rsid w:val="00304BA3"/>
    <w:rsid w:val="0030518E"/>
    <w:rsid w:val="003061D9"/>
    <w:rsid w:val="003072D2"/>
    <w:rsid w:val="003072E0"/>
    <w:rsid w:val="003101FF"/>
    <w:rsid w:val="0031081F"/>
    <w:rsid w:val="00310823"/>
    <w:rsid w:val="00311093"/>
    <w:rsid w:val="00311243"/>
    <w:rsid w:val="00311B81"/>
    <w:rsid w:val="003128F3"/>
    <w:rsid w:val="0031301E"/>
    <w:rsid w:val="0031373B"/>
    <w:rsid w:val="00315705"/>
    <w:rsid w:val="00315960"/>
    <w:rsid w:val="00315CAC"/>
    <w:rsid w:val="00316E93"/>
    <w:rsid w:val="0031735E"/>
    <w:rsid w:val="00317EFC"/>
    <w:rsid w:val="003200F7"/>
    <w:rsid w:val="0032040A"/>
    <w:rsid w:val="00320FEC"/>
    <w:rsid w:val="00321DB5"/>
    <w:rsid w:val="0032345A"/>
    <w:rsid w:val="00324D80"/>
    <w:rsid w:val="003252A5"/>
    <w:rsid w:val="00325A35"/>
    <w:rsid w:val="00326C6E"/>
    <w:rsid w:val="003320B3"/>
    <w:rsid w:val="00333E37"/>
    <w:rsid w:val="003340E1"/>
    <w:rsid w:val="00334D25"/>
    <w:rsid w:val="00334ED7"/>
    <w:rsid w:val="00335618"/>
    <w:rsid w:val="00337BC7"/>
    <w:rsid w:val="00337E77"/>
    <w:rsid w:val="00342B72"/>
    <w:rsid w:val="00343433"/>
    <w:rsid w:val="003448DE"/>
    <w:rsid w:val="0034677B"/>
    <w:rsid w:val="00346F02"/>
    <w:rsid w:val="0034721E"/>
    <w:rsid w:val="00350555"/>
    <w:rsid w:val="003521BF"/>
    <w:rsid w:val="00353980"/>
    <w:rsid w:val="00354147"/>
    <w:rsid w:val="00355845"/>
    <w:rsid w:val="00360EC0"/>
    <w:rsid w:val="00363546"/>
    <w:rsid w:val="003636E8"/>
    <w:rsid w:val="00365E40"/>
    <w:rsid w:val="00367642"/>
    <w:rsid w:val="00370252"/>
    <w:rsid w:val="00370470"/>
    <w:rsid w:val="00372166"/>
    <w:rsid w:val="003725CD"/>
    <w:rsid w:val="00373695"/>
    <w:rsid w:val="00376860"/>
    <w:rsid w:val="003771AE"/>
    <w:rsid w:val="00377CF5"/>
    <w:rsid w:val="00380B4E"/>
    <w:rsid w:val="0038142C"/>
    <w:rsid w:val="00382469"/>
    <w:rsid w:val="0038364B"/>
    <w:rsid w:val="00384080"/>
    <w:rsid w:val="00384754"/>
    <w:rsid w:val="00385070"/>
    <w:rsid w:val="00386378"/>
    <w:rsid w:val="003866B0"/>
    <w:rsid w:val="003866EC"/>
    <w:rsid w:val="003869E2"/>
    <w:rsid w:val="00387708"/>
    <w:rsid w:val="0039548A"/>
    <w:rsid w:val="003956EE"/>
    <w:rsid w:val="00396590"/>
    <w:rsid w:val="00397F83"/>
    <w:rsid w:val="003A03D8"/>
    <w:rsid w:val="003A1733"/>
    <w:rsid w:val="003A1CE0"/>
    <w:rsid w:val="003A1EAF"/>
    <w:rsid w:val="003A353F"/>
    <w:rsid w:val="003A426C"/>
    <w:rsid w:val="003A4A56"/>
    <w:rsid w:val="003B17F7"/>
    <w:rsid w:val="003B25A2"/>
    <w:rsid w:val="003B2906"/>
    <w:rsid w:val="003B37DA"/>
    <w:rsid w:val="003B637F"/>
    <w:rsid w:val="003C0918"/>
    <w:rsid w:val="003C3215"/>
    <w:rsid w:val="003C460A"/>
    <w:rsid w:val="003C7AAC"/>
    <w:rsid w:val="003D0614"/>
    <w:rsid w:val="003D0A61"/>
    <w:rsid w:val="003D0BF5"/>
    <w:rsid w:val="003D0BFB"/>
    <w:rsid w:val="003D0CE5"/>
    <w:rsid w:val="003D120B"/>
    <w:rsid w:val="003D157A"/>
    <w:rsid w:val="003D34FC"/>
    <w:rsid w:val="003D47A7"/>
    <w:rsid w:val="003D6D4A"/>
    <w:rsid w:val="003D7371"/>
    <w:rsid w:val="003D7673"/>
    <w:rsid w:val="003E0AF7"/>
    <w:rsid w:val="003E0BC8"/>
    <w:rsid w:val="003E0DF7"/>
    <w:rsid w:val="003E31CD"/>
    <w:rsid w:val="003E3CDA"/>
    <w:rsid w:val="003E3E45"/>
    <w:rsid w:val="003E521D"/>
    <w:rsid w:val="003F0F52"/>
    <w:rsid w:val="003F10BD"/>
    <w:rsid w:val="003F1CFE"/>
    <w:rsid w:val="003F24B3"/>
    <w:rsid w:val="003F2F23"/>
    <w:rsid w:val="003F6089"/>
    <w:rsid w:val="003F7B3E"/>
    <w:rsid w:val="004005A6"/>
    <w:rsid w:val="00401E42"/>
    <w:rsid w:val="00403113"/>
    <w:rsid w:val="00403C34"/>
    <w:rsid w:val="004054FD"/>
    <w:rsid w:val="00405B26"/>
    <w:rsid w:val="00405BDB"/>
    <w:rsid w:val="00405DA2"/>
    <w:rsid w:val="00407496"/>
    <w:rsid w:val="00410CFE"/>
    <w:rsid w:val="00411082"/>
    <w:rsid w:val="0041431F"/>
    <w:rsid w:val="004147C4"/>
    <w:rsid w:val="00414DA1"/>
    <w:rsid w:val="00415FC8"/>
    <w:rsid w:val="004162A2"/>
    <w:rsid w:val="00416E34"/>
    <w:rsid w:val="00420F3C"/>
    <w:rsid w:val="004229D2"/>
    <w:rsid w:val="00424C0B"/>
    <w:rsid w:val="00426F04"/>
    <w:rsid w:val="00431750"/>
    <w:rsid w:val="004328E5"/>
    <w:rsid w:val="00433CDD"/>
    <w:rsid w:val="004341DE"/>
    <w:rsid w:val="00435289"/>
    <w:rsid w:val="00436889"/>
    <w:rsid w:val="004370D2"/>
    <w:rsid w:val="00437D77"/>
    <w:rsid w:val="00437F8A"/>
    <w:rsid w:val="00443581"/>
    <w:rsid w:val="00446F80"/>
    <w:rsid w:val="00451B53"/>
    <w:rsid w:val="00452366"/>
    <w:rsid w:val="00452753"/>
    <w:rsid w:val="00453EC8"/>
    <w:rsid w:val="00454A97"/>
    <w:rsid w:val="0045729A"/>
    <w:rsid w:val="00460184"/>
    <w:rsid w:val="004601AA"/>
    <w:rsid w:val="00461749"/>
    <w:rsid w:val="00461781"/>
    <w:rsid w:val="00462830"/>
    <w:rsid w:val="00462CB0"/>
    <w:rsid w:val="0046375D"/>
    <w:rsid w:val="004637C1"/>
    <w:rsid w:val="00464868"/>
    <w:rsid w:val="00464BDF"/>
    <w:rsid w:val="004679D8"/>
    <w:rsid w:val="00467E11"/>
    <w:rsid w:val="004712B3"/>
    <w:rsid w:val="004726B7"/>
    <w:rsid w:val="0047356B"/>
    <w:rsid w:val="00476207"/>
    <w:rsid w:val="00476AEB"/>
    <w:rsid w:val="00476BC8"/>
    <w:rsid w:val="00482DD9"/>
    <w:rsid w:val="00483CED"/>
    <w:rsid w:val="00484E5B"/>
    <w:rsid w:val="004851B3"/>
    <w:rsid w:val="00487626"/>
    <w:rsid w:val="00487DB2"/>
    <w:rsid w:val="004901F2"/>
    <w:rsid w:val="004903FA"/>
    <w:rsid w:val="00491A0F"/>
    <w:rsid w:val="004939D1"/>
    <w:rsid w:val="004978E5"/>
    <w:rsid w:val="004A0D93"/>
    <w:rsid w:val="004A0EDC"/>
    <w:rsid w:val="004A1633"/>
    <w:rsid w:val="004A2B1F"/>
    <w:rsid w:val="004A3135"/>
    <w:rsid w:val="004A48FA"/>
    <w:rsid w:val="004A4B72"/>
    <w:rsid w:val="004A5031"/>
    <w:rsid w:val="004A6F84"/>
    <w:rsid w:val="004B0976"/>
    <w:rsid w:val="004B0EC9"/>
    <w:rsid w:val="004B0F16"/>
    <w:rsid w:val="004B21CD"/>
    <w:rsid w:val="004B2655"/>
    <w:rsid w:val="004B2838"/>
    <w:rsid w:val="004B3307"/>
    <w:rsid w:val="004B39CD"/>
    <w:rsid w:val="004B4010"/>
    <w:rsid w:val="004B50E7"/>
    <w:rsid w:val="004C1894"/>
    <w:rsid w:val="004C25D5"/>
    <w:rsid w:val="004C4449"/>
    <w:rsid w:val="004C5C56"/>
    <w:rsid w:val="004C765F"/>
    <w:rsid w:val="004C7D89"/>
    <w:rsid w:val="004D0C19"/>
    <w:rsid w:val="004D1A35"/>
    <w:rsid w:val="004D28D4"/>
    <w:rsid w:val="004D321A"/>
    <w:rsid w:val="004D328A"/>
    <w:rsid w:val="004D50A4"/>
    <w:rsid w:val="004D661D"/>
    <w:rsid w:val="004E216D"/>
    <w:rsid w:val="004E4898"/>
    <w:rsid w:val="004E49FB"/>
    <w:rsid w:val="004E54B1"/>
    <w:rsid w:val="004E66FA"/>
    <w:rsid w:val="004E6D06"/>
    <w:rsid w:val="004E7445"/>
    <w:rsid w:val="004F0504"/>
    <w:rsid w:val="004F1B85"/>
    <w:rsid w:val="004F2370"/>
    <w:rsid w:val="004F30DE"/>
    <w:rsid w:val="004F3D0A"/>
    <w:rsid w:val="004F6719"/>
    <w:rsid w:val="0050076E"/>
    <w:rsid w:val="00501274"/>
    <w:rsid w:val="005016A4"/>
    <w:rsid w:val="00503156"/>
    <w:rsid w:val="005033AC"/>
    <w:rsid w:val="00503F42"/>
    <w:rsid w:val="005058EE"/>
    <w:rsid w:val="00505951"/>
    <w:rsid w:val="00506975"/>
    <w:rsid w:val="00507133"/>
    <w:rsid w:val="005101AE"/>
    <w:rsid w:val="005118A7"/>
    <w:rsid w:val="00512EFA"/>
    <w:rsid w:val="00513740"/>
    <w:rsid w:val="00513C7D"/>
    <w:rsid w:val="0051493D"/>
    <w:rsid w:val="00514E88"/>
    <w:rsid w:val="0051619C"/>
    <w:rsid w:val="0052163D"/>
    <w:rsid w:val="00525D28"/>
    <w:rsid w:val="005279D4"/>
    <w:rsid w:val="00531BC6"/>
    <w:rsid w:val="005325C9"/>
    <w:rsid w:val="0053270D"/>
    <w:rsid w:val="005338BE"/>
    <w:rsid w:val="00534C00"/>
    <w:rsid w:val="005360A5"/>
    <w:rsid w:val="00536CFB"/>
    <w:rsid w:val="00536FD0"/>
    <w:rsid w:val="0054041C"/>
    <w:rsid w:val="00540F2F"/>
    <w:rsid w:val="005415A4"/>
    <w:rsid w:val="0054173B"/>
    <w:rsid w:val="00541778"/>
    <w:rsid w:val="005443A7"/>
    <w:rsid w:val="00544504"/>
    <w:rsid w:val="00544F4F"/>
    <w:rsid w:val="005465E9"/>
    <w:rsid w:val="0054713A"/>
    <w:rsid w:val="00550AD0"/>
    <w:rsid w:val="005515E7"/>
    <w:rsid w:val="00551ADC"/>
    <w:rsid w:val="00552738"/>
    <w:rsid w:val="0055309C"/>
    <w:rsid w:val="005559A4"/>
    <w:rsid w:val="0055639F"/>
    <w:rsid w:val="0056083F"/>
    <w:rsid w:val="00561A51"/>
    <w:rsid w:val="0056217A"/>
    <w:rsid w:val="0056270B"/>
    <w:rsid w:val="00565CAE"/>
    <w:rsid w:val="00565F56"/>
    <w:rsid w:val="00566087"/>
    <w:rsid w:val="00566249"/>
    <w:rsid w:val="0057010C"/>
    <w:rsid w:val="00571623"/>
    <w:rsid w:val="00571B73"/>
    <w:rsid w:val="00572EF1"/>
    <w:rsid w:val="00574298"/>
    <w:rsid w:val="005755F1"/>
    <w:rsid w:val="00575E44"/>
    <w:rsid w:val="00582A56"/>
    <w:rsid w:val="00583191"/>
    <w:rsid w:val="00583B4D"/>
    <w:rsid w:val="00584070"/>
    <w:rsid w:val="0058502B"/>
    <w:rsid w:val="00586CC3"/>
    <w:rsid w:val="00586DFC"/>
    <w:rsid w:val="00587620"/>
    <w:rsid w:val="00590AA1"/>
    <w:rsid w:val="00592602"/>
    <w:rsid w:val="005928CB"/>
    <w:rsid w:val="00592F1B"/>
    <w:rsid w:val="00593A96"/>
    <w:rsid w:val="00595096"/>
    <w:rsid w:val="0059535D"/>
    <w:rsid w:val="00595818"/>
    <w:rsid w:val="005960CE"/>
    <w:rsid w:val="00596BFB"/>
    <w:rsid w:val="005A1AB2"/>
    <w:rsid w:val="005A1B66"/>
    <w:rsid w:val="005A1F5F"/>
    <w:rsid w:val="005A2019"/>
    <w:rsid w:val="005A4ACE"/>
    <w:rsid w:val="005A52AF"/>
    <w:rsid w:val="005A5759"/>
    <w:rsid w:val="005A5761"/>
    <w:rsid w:val="005A65EC"/>
    <w:rsid w:val="005B0731"/>
    <w:rsid w:val="005B11A4"/>
    <w:rsid w:val="005B278E"/>
    <w:rsid w:val="005B2968"/>
    <w:rsid w:val="005B4E1B"/>
    <w:rsid w:val="005B55FF"/>
    <w:rsid w:val="005C24B0"/>
    <w:rsid w:val="005C25F5"/>
    <w:rsid w:val="005C42C8"/>
    <w:rsid w:val="005C50F4"/>
    <w:rsid w:val="005C521E"/>
    <w:rsid w:val="005C78F0"/>
    <w:rsid w:val="005C7E56"/>
    <w:rsid w:val="005D110E"/>
    <w:rsid w:val="005D1902"/>
    <w:rsid w:val="005D3AC6"/>
    <w:rsid w:val="005D666D"/>
    <w:rsid w:val="005D6741"/>
    <w:rsid w:val="005D70D5"/>
    <w:rsid w:val="005D7A5D"/>
    <w:rsid w:val="005E1DE9"/>
    <w:rsid w:val="005E2967"/>
    <w:rsid w:val="005E29FD"/>
    <w:rsid w:val="005E2B0D"/>
    <w:rsid w:val="005E4631"/>
    <w:rsid w:val="005E7B36"/>
    <w:rsid w:val="005F03B5"/>
    <w:rsid w:val="005F0C79"/>
    <w:rsid w:val="005F545C"/>
    <w:rsid w:val="005F6E4F"/>
    <w:rsid w:val="006025D8"/>
    <w:rsid w:val="00604BB6"/>
    <w:rsid w:val="006053BC"/>
    <w:rsid w:val="00606235"/>
    <w:rsid w:val="00606A3C"/>
    <w:rsid w:val="00606EF8"/>
    <w:rsid w:val="00607137"/>
    <w:rsid w:val="006104FD"/>
    <w:rsid w:val="00612D3C"/>
    <w:rsid w:val="006131EC"/>
    <w:rsid w:val="00613252"/>
    <w:rsid w:val="00614531"/>
    <w:rsid w:val="006170A8"/>
    <w:rsid w:val="006175A2"/>
    <w:rsid w:val="00620E78"/>
    <w:rsid w:val="00620E95"/>
    <w:rsid w:val="00621812"/>
    <w:rsid w:val="006219DD"/>
    <w:rsid w:val="00622009"/>
    <w:rsid w:val="00622055"/>
    <w:rsid w:val="006243BA"/>
    <w:rsid w:val="006253ED"/>
    <w:rsid w:val="00625AAD"/>
    <w:rsid w:val="00625B7D"/>
    <w:rsid w:val="00625C38"/>
    <w:rsid w:val="00625CD9"/>
    <w:rsid w:val="00625FE5"/>
    <w:rsid w:val="0062627E"/>
    <w:rsid w:val="006276FC"/>
    <w:rsid w:val="00627CD6"/>
    <w:rsid w:val="0063101E"/>
    <w:rsid w:val="006313BC"/>
    <w:rsid w:val="00631460"/>
    <w:rsid w:val="0063192D"/>
    <w:rsid w:val="00631AD5"/>
    <w:rsid w:val="00631BB6"/>
    <w:rsid w:val="00632B83"/>
    <w:rsid w:val="00633996"/>
    <w:rsid w:val="0063609E"/>
    <w:rsid w:val="0063618D"/>
    <w:rsid w:val="00637039"/>
    <w:rsid w:val="00637936"/>
    <w:rsid w:val="0064348C"/>
    <w:rsid w:val="00644CAF"/>
    <w:rsid w:val="006450B7"/>
    <w:rsid w:val="00645423"/>
    <w:rsid w:val="006473A6"/>
    <w:rsid w:val="00647934"/>
    <w:rsid w:val="00650809"/>
    <w:rsid w:val="00654132"/>
    <w:rsid w:val="006547B5"/>
    <w:rsid w:val="00654956"/>
    <w:rsid w:val="00655C60"/>
    <w:rsid w:val="00655FFD"/>
    <w:rsid w:val="00656F3A"/>
    <w:rsid w:val="00657482"/>
    <w:rsid w:val="00660BE4"/>
    <w:rsid w:val="00661FD8"/>
    <w:rsid w:val="006630FD"/>
    <w:rsid w:val="00663489"/>
    <w:rsid w:val="00663C77"/>
    <w:rsid w:val="00664BA3"/>
    <w:rsid w:val="00667EE8"/>
    <w:rsid w:val="006709A2"/>
    <w:rsid w:val="0067120A"/>
    <w:rsid w:val="00672C27"/>
    <w:rsid w:val="006733C2"/>
    <w:rsid w:val="00673B05"/>
    <w:rsid w:val="00674112"/>
    <w:rsid w:val="00676649"/>
    <w:rsid w:val="00676BE4"/>
    <w:rsid w:val="00677C2D"/>
    <w:rsid w:val="00680211"/>
    <w:rsid w:val="00681173"/>
    <w:rsid w:val="0068147C"/>
    <w:rsid w:val="006823A1"/>
    <w:rsid w:val="00684CF4"/>
    <w:rsid w:val="00684E0C"/>
    <w:rsid w:val="00685D6F"/>
    <w:rsid w:val="00685DA5"/>
    <w:rsid w:val="006868AA"/>
    <w:rsid w:val="00687EEE"/>
    <w:rsid w:val="00687FC7"/>
    <w:rsid w:val="00690A86"/>
    <w:rsid w:val="00691410"/>
    <w:rsid w:val="00691538"/>
    <w:rsid w:val="0069283D"/>
    <w:rsid w:val="00694641"/>
    <w:rsid w:val="00694841"/>
    <w:rsid w:val="00694E08"/>
    <w:rsid w:val="00696D9F"/>
    <w:rsid w:val="00697505"/>
    <w:rsid w:val="006A0FC0"/>
    <w:rsid w:val="006A161D"/>
    <w:rsid w:val="006A3C29"/>
    <w:rsid w:val="006A7506"/>
    <w:rsid w:val="006B0CFF"/>
    <w:rsid w:val="006B16D6"/>
    <w:rsid w:val="006B1D71"/>
    <w:rsid w:val="006B22C8"/>
    <w:rsid w:val="006B3B44"/>
    <w:rsid w:val="006B78E0"/>
    <w:rsid w:val="006C0F62"/>
    <w:rsid w:val="006C155C"/>
    <w:rsid w:val="006C2C1F"/>
    <w:rsid w:val="006C4D91"/>
    <w:rsid w:val="006C5422"/>
    <w:rsid w:val="006C69A8"/>
    <w:rsid w:val="006C7577"/>
    <w:rsid w:val="006D18D0"/>
    <w:rsid w:val="006D2E8D"/>
    <w:rsid w:val="006D32E6"/>
    <w:rsid w:val="006D6582"/>
    <w:rsid w:val="006D6AC7"/>
    <w:rsid w:val="006D7279"/>
    <w:rsid w:val="006D7AE5"/>
    <w:rsid w:val="006E2E89"/>
    <w:rsid w:val="006E4104"/>
    <w:rsid w:val="006E4A7E"/>
    <w:rsid w:val="006F0A43"/>
    <w:rsid w:val="006F1A95"/>
    <w:rsid w:val="006F2F27"/>
    <w:rsid w:val="006F44D0"/>
    <w:rsid w:val="006F5B05"/>
    <w:rsid w:val="006F5B5F"/>
    <w:rsid w:val="006F6941"/>
    <w:rsid w:val="00700126"/>
    <w:rsid w:val="00702AAA"/>
    <w:rsid w:val="007100CC"/>
    <w:rsid w:val="00710923"/>
    <w:rsid w:val="007111D6"/>
    <w:rsid w:val="007139DB"/>
    <w:rsid w:val="007144F4"/>
    <w:rsid w:val="00714A52"/>
    <w:rsid w:val="00715C5E"/>
    <w:rsid w:val="00715D35"/>
    <w:rsid w:val="00716B8F"/>
    <w:rsid w:val="00720205"/>
    <w:rsid w:val="00720518"/>
    <w:rsid w:val="0072084F"/>
    <w:rsid w:val="00720C71"/>
    <w:rsid w:val="0072201D"/>
    <w:rsid w:val="00722B70"/>
    <w:rsid w:val="00722ED4"/>
    <w:rsid w:val="0072457D"/>
    <w:rsid w:val="00726A6A"/>
    <w:rsid w:val="00727007"/>
    <w:rsid w:val="00727486"/>
    <w:rsid w:val="007277B4"/>
    <w:rsid w:val="00730A19"/>
    <w:rsid w:val="00730A4A"/>
    <w:rsid w:val="00730ADA"/>
    <w:rsid w:val="00730F1F"/>
    <w:rsid w:val="0073117C"/>
    <w:rsid w:val="00732060"/>
    <w:rsid w:val="00732639"/>
    <w:rsid w:val="0073288D"/>
    <w:rsid w:val="00733268"/>
    <w:rsid w:val="00736DFC"/>
    <w:rsid w:val="007423CD"/>
    <w:rsid w:val="00742464"/>
    <w:rsid w:val="007428EC"/>
    <w:rsid w:val="00742D04"/>
    <w:rsid w:val="00743C81"/>
    <w:rsid w:val="00743D1C"/>
    <w:rsid w:val="007443A0"/>
    <w:rsid w:val="00745246"/>
    <w:rsid w:val="00745284"/>
    <w:rsid w:val="00745313"/>
    <w:rsid w:val="007479CB"/>
    <w:rsid w:val="00747EBA"/>
    <w:rsid w:val="00747FC9"/>
    <w:rsid w:val="0075191E"/>
    <w:rsid w:val="0075338F"/>
    <w:rsid w:val="007548A0"/>
    <w:rsid w:val="007561FA"/>
    <w:rsid w:val="00757E7D"/>
    <w:rsid w:val="0076076F"/>
    <w:rsid w:val="0076086F"/>
    <w:rsid w:val="007611B8"/>
    <w:rsid w:val="00762447"/>
    <w:rsid w:val="0076330B"/>
    <w:rsid w:val="0076340C"/>
    <w:rsid w:val="007638FA"/>
    <w:rsid w:val="00764D9D"/>
    <w:rsid w:val="00766084"/>
    <w:rsid w:val="007738E4"/>
    <w:rsid w:val="00773FD5"/>
    <w:rsid w:val="00774243"/>
    <w:rsid w:val="007776F8"/>
    <w:rsid w:val="0078120F"/>
    <w:rsid w:val="0078305E"/>
    <w:rsid w:val="00783893"/>
    <w:rsid w:val="00784654"/>
    <w:rsid w:val="007853D5"/>
    <w:rsid w:val="0078571F"/>
    <w:rsid w:val="00786143"/>
    <w:rsid w:val="007870DF"/>
    <w:rsid w:val="00787782"/>
    <w:rsid w:val="0079055B"/>
    <w:rsid w:val="00790AE6"/>
    <w:rsid w:val="00791792"/>
    <w:rsid w:val="007922AA"/>
    <w:rsid w:val="00793AB8"/>
    <w:rsid w:val="00794358"/>
    <w:rsid w:val="007946B5"/>
    <w:rsid w:val="00794CC5"/>
    <w:rsid w:val="007A2EF0"/>
    <w:rsid w:val="007A4940"/>
    <w:rsid w:val="007A5486"/>
    <w:rsid w:val="007A5523"/>
    <w:rsid w:val="007A74A5"/>
    <w:rsid w:val="007B1C5F"/>
    <w:rsid w:val="007B360F"/>
    <w:rsid w:val="007B3CE9"/>
    <w:rsid w:val="007B5660"/>
    <w:rsid w:val="007B6CEC"/>
    <w:rsid w:val="007C0013"/>
    <w:rsid w:val="007C005A"/>
    <w:rsid w:val="007C0559"/>
    <w:rsid w:val="007C0B3E"/>
    <w:rsid w:val="007C37AC"/>
    <w:rsid w:val="007C6765"/>
    <w:rsid w:val="007C67C3"/>
    <w:rsid w:val="007C7E87"/>
    <w:rsid w:val="007D102A"/>
    <w:rsid w:val="007D33AB"/>
    <w:rsid w:val="007D36F8"/>
    <w:rsid w:val="007D3CA6"/>
    <w:rsid w:val="007D4D7D"/>
    <w:rsid w:val="007D5B12"/>
    <w:rsid w:val="007D6249"/>
    <w:rsid w:val="007D6440"/>
    <w:rsid w:val="007D785F"/>
    <w:rsid w:val="007E1AB7"/>
    <w:rsid w:val="007E1EAC"/>
    <w:rsid w:val="007E2AB9"/>
    <w:rsid w:val="007E3BED"/>
    <w:rsid w:val="007E5013"/>
    <w:rsid w:val="007E5249"/>
    <w:rsid w:val="007E6E41"/>
    <w:rsid w:val="007F0A99"/>
    <w:rsid w:val="007F111D"/>
    <w:rsid w:val="007F4371"/>
    <w:rsid w:val="007F62F7"/>
    <w:rsid w:val="007F6576"/>
    <w:rsid w:val="007F7CEF"/>
    <w:rsid w:val="00800724"/>
    <w:rsid w:val="00800AA2"/>
    <w:rsid w:val="00800E98"/>
    <w:rsid w:val="00803AE4"/>
    <w:rsid w:val="00804BA1"/>
    <w:rsid w:val="00804C06"/>
    <w:rsid w:val="008071A6"/>
    <w:rsid w:val="00807C45"/>
    <w:rsid w:val="0081007B"/>
    <w:rsid w:val="008107C4"/>
    <w:rsid w:val="00810A79"/>
    <w:rsid w:val="00813D3A"/>
    <w:rsid w:val="00814ADD"/>
    <w:rsid w:val="008165E2"/>
    <w:rsid w:val="008210E4"/>
    <w:rsid w:val="00821CBF"/>
    <w:rsid w:val="008225A3"/>
    <w:rsid w:val="008235CB"/>
    <w:rsid w:val="008240E1"/>
    <w:rsid w:val="008240F4"/>
    <w:rsid w:val="008253AE"/>
    <w:rsid w:val="008255D8"/>
    <w:rsid w:val="00830B00"/>
    <w:rsid w:val="00830F22"/>
    <w:rsid w:val="00830F63"/>
    <w:rsid w:val="008319EA"/>
    <w:rsid w:val="00832CE0"/>
    <w:rsid w:val="008332AE"/>
    <w:rsid w:val="008335F2"/>
    <w:rsid w:val="008347D9"/>
    <w:rsid w:val="00835410"/>
    <w:rsid w:val="008361F2"/>
    <w:rsid w:val="00837866"/>
    <w:rsid w:val="00842B2D"/>
    <w:rsid w:val="0084355E"/>
    <w:rsid w:val="00845908"/>
    <w:rsid w:val="00847801"/>
    <w:rsid w:val="00847A60"/>
    <w:rsid w:val="00851902"/>
    <w:rsid w:val="0085392C"/>
    <w:rsid w:val="00853F50"/>
    <w:rsid w:val="00853F90"/>
    <w:rsid w:val="00854859"/>
    <w:rsid w:val="00855A85"/>
    <w:rsid w:val="00856FAB"/>
    <w:rsid w:val="0086033F"/>
    <w:rsid w:val="00860451"/>
    <w:rsid w:val="0086178A"/>
    <w:rsid w:val="008618CA"/>
    <w:rsid w:val="00863F7C"/>
    <w:rsid w:val="00867369"/>
    <w:rsid w:val="008715A6"/>
    <w:rsid w:val="00872733"/>
    <w:rsid w:val="00872FB2"/>
    <w:rsid w:val="0087322C"/>
    <w:rsid w:val="00873567"/>
    <w:rsid w:val="008736AA"/>
    <w:rsid w:val="00874B73"/>
    <w:rsid w:val="0087782A"/>
    <w:rsid w:val="0088007A"/>
    <w:rsid w:val="00880FDE"/>
    <w:rsid w:val="00881214"/>
    <w:rsid w:val="00882C2A"/>
    <w:rsid w:val="00883776"/>
    <w:rsid w:val="00883EE7"/>
    <w:rsid w:val="00884515"/>
    <w:rsid w:val="0089463D"/>
    <w:rsid w:val="00895135"/>
    <w:rsid w:val="00896384"/>
    <w:rsid w:val="00896F33"/>
    <w:rsid w:val="00897618"/>
    <w:rsid w:val="008A0836"/>
    <w:rsid w:val="008A0DFD"/>
    <w:rsid w:val="008A3694"/>
    <w:rsid w:val="008A39B6"/>
    <w:rsid w:val="008A74DF"/>
    <w:rsid w:val="008A7575"/>
    <w:rsid w:val="008A777A"/>
    <w:rsid w:val="008B2C5A"/>
    <w:rsid w:val="008B385F"/>
    <w:rsid w:val="008C094A"/>
    <w:rsid w:val="008C10BA"/>
    <w:rsid w:val="008C1B5A"/>
    <w:rsid w:val="008C1D2D"/>
    <w:rsid w:val="008C2BA1"/>
    <w:rsid w:val="008C484F"/>
    <w:rsid w:val="008C4D95"/>
    <w:rsid w:val="008C5C1E"/>
    <w:rsid w:val="008C611E"/>
    <w:rsid w:val="008C655F"/>
    <w:rsid w:val="008C67E6"/>
    <w:rsid w:val="008D0459"/>
    <w:rsid w:val="008D18E7"/>
    <w:rsid w:val="008D2AC3"/>
    <w:rsid w:val="008D2F0D"/>
    <w:rsid w:val="008D2FC3"/>
    <w:rsid w:val="008D3704"/>
    <w:rsid w:val="008D54E4"/>
    <w:rsid w:val="008D59F5"/>
    <w:rsid w:val="008D5A56"/>
    <w:rsid w:val="008D6933"/>
    <w:rsid w:val="008D710A"/>
    <w:rsid w:val="008E08EC"/>
    <w:rsid w:val="008E0F6A"/>
    <w:rsid w:val="008E33E6"/>
    <w:rsid w:val="008E48DE"/>
    <w:rsid w:val="008E57F8"/>
    <w:rsid w:val="008E6590"/>
    <w:rsid w:val="008E6F45"/>
    <w:rsid w:val="008E717B"/>
    <w:rsid w:val="008F067D"/>
    <w:rsid w:val="008F09F2"/>
    <w:rsid w:val="008F0B10"/>
    <w:rsid w:val="008F28E9"/>
    <w:rsid w:val="008F29E3"/>
    <w:rsid w:val="008F4C23"/>
    <w:rsid w:val="008F574A"/>
    <w:rsid w:val="009018A1"/>
    <w:rsid w:val="009020C3"/>
    <w:rsid w:val="0090371E"/>
    <w:rsid w:val="009041CF"/>
    <w:rsid w:val="00905CC4"/>
    <w:rsid w:val="00911AA4"/>
    <w:rsid w:val="009206BA"/>
    <w:rsid w:val="00920BAF"/>
    <w:rsid w:val="00920DBA"/>
    <w:rsid w:val="0092228D"/>
    <w:rsid w:val="009252E2"/>
    <w:rsid w:val="00925BC0"/>
    <w:rsid w:val="009277FB"/>
    <w:rsid w:val="009279DE"/>
    <w:rsid w:val="00934601"/>
    <w:rsid w:val="00935D10"/>
    <w:rsid w:val="00937A39"/>
    <w:rsid w:val="0094115C"/>
    <w:rsid w:val="0094150D"/>
    <w:rsid w:val="009419B9"/>
    <w:rsid w:val="00942C09"/>
    <w:rsid w:val="00942E70"/>
    <w:rsid w:val="00943C9C"/>
    <w:rsid w:val="00945452"/>
    <w:rsid w:val="00945478"/>
    <w:rsid w:val="0094561C"/>
    <w:rsid w:val="0095011F"/>
    <w:rsid w:val="009506A6"/>
    <w:rsid w:val="00950886"/>
    <w:rsid w:val="009515B4"/>
    <w:rsid w:val="009555E7"/>
    <w:rsid w:val="00955710"/>
    <w:rsid w:val="00955F11"/>
    <w:rsid w:val="0096274C"/>
    <w:rsid w:val="009629C7"/>
    <w:rsid w:val="00963643"/>
    <w:rsid w:val="00966834"/>
    <w:rsid w:val="00967EB7"/>
    <w:rsid w:val="00970527"/>
    <w:rsid w:val="00970C6D"/>
    <w:rsid w:val="00971E7C"/>
    <w:rsid w:val="00973C9E"/>
    <w:rsid w:val="009770CB"/>
    <w:rsid w:val="0098001D"/>
    <w:rsid w:val="00980103"/>
    <w:rsid w:val="009827FA"/>
    <w:rsid w:val="009828E3"/>
    <w:rsid w:val="00983902"/>
    <w:rsid w:val="00983FB7"/>
    <w:rsid w:val="00984B8C"/>
    <w:rsid w:val="0098627A"/>
    <w:rsid w:val="009866DB"/>
    <w:rsid w:val="00986C1B"/>
    <w:rsid w:val="009877D3"/>
    <w:rsid w:val="0099023F"/>
    <w:rsid w:val="009905CF"/>
    <w:rsid w:val="0099068F"/>
    <w:rsid w:val="009913E5"/>
    <w:rsid w:val="00991773"/>
    <w:rsid w:val="00991B9F"/>
    <w:rsid w:val="00992F04"/>
    <w:rsid w:val="00994C44"/>
    <w:rsid w:val="009954AF"/>
    <w:rsid w:val="00996701"/>
    <w:rsid w:val="009A16B6"/>
    <w:rsid w:val="009A1BC4"/>
    <w:rsid w:val="009A2B34"/>
    <w:rsid w:val="009A4834"/>
    <w:rsid w:val="009A55B5"/>
    <w:rsid w:val="009A6BE0"/>
    <w:rsid w:val="009A771E"/>
    <w:rsid w:val="009B0F78"/>
    <w:rsid w:val="009B1D26"/>
    <w:rsid w:val="009B1F16"/>
    <w:rsid w:val="009B40B3"/>
    <w:rsid w:val="009B4B48"/>
    <w:rsid w:val="009B5D0B"/>
    <w:rsid w:val="009B747D"/>
    <w:rsid w:val="009C0730"/>
    <w:rsid w:val="009C29D3"/>
    <w:rsid w:val="009C2C0B"/>
    <w:rsid w:val="009C3D86"/>
    <w:rsid w:val="009C43BD"/>
    <w:rsid w:val="009C5934"/>
    <w:rsid w:val="009C673E"/>
    <w:rsid w:val="009C721D"/>
    <w:rsid w:val="009D1590"/>
    <w:rsid w:val="009D22C5"/>
    <w:rsid w:val="009D2F22"/>
    <w:rsid w:val="009D4DFB"/>
    <w:rsid w:val="009D5ECA"/>
    <w:rsid w:val="009D727A"/>
    <w:rsid w:val="009E0A2D"/>
    <w:rsid w:val="009E0A89"/>
    <w:rsid w:val="009E1804"/>
    <w:rsid w:val="009E31E2"/>
    <w:rsid w:val="009E3F18"/>
    <w:rsid w:val="009E4610"/>
    <w:rsid w:val="009E4AF4"/>
    <w:rsid w:val="009E775F"/>
    <w:rsid w:val="009F15AF"/>
    <w:rsid w:val="009F1BD2"/>
    <w:rsid w:val="009F4D9F"/>
    <w:rsid w:val="009F517D"/>
    <w:rsid w:val="009F631D"/>
    <w:rsid w:val="00A012A4"/>
    <w:rsid w:val="00A0269B"/>
    <w:rsid w:val="00A04369"/>
    <w:rsid w:val="00A0453D"/>
    <w:rsid w:val="00A0654D"/>
    <w:rsid w:val="00A10ED6"/>
    <w:rsid w:val="00A116E3"/>
    <w:rsid w:val="00A12C23"/>
    <w:rsid w:val="00A13DBE"/>
    <w:rsid w:val="00A14846"/>
    <w:rsid w:val="00A15C76"/>
    <w:rsid w:val="00A163C0"/>
    <w:rsid w:val="00A16B6F"/>
    <w:rsid w:val="00A16B96"/>
    <w:rsid w:val="00A179DB"/>
    <w:rsid w:val="00A215CB"/>
    <w:rsid w:val="00A2502F"/>
    <w:rsid w:val="00A25828"/>
    <w:rsid w:val="00A258E7"/>
    <w:rsid w:val="00A31FAF"/>
    <w:rsid w:val="00A33442"/>
    <w:rsid w:val="00A33494"/>
    <w:rsid w:val="00A34071"/>
    <w:rsid w:val="00A350C8"/>
    <w:rsid w:val="00A3623F"/>
    <w:rsid w:val="00A36803"/>
    <w:rsid w:val="00A36E01"/>
    <w:rsid w:val="00A37C23"/>
    <w:rsid w:val="00A456FD"/>
    <w:rsid w:val="00A45965"/>
    <w:rsid w:val="00A5193D"/>
    <w:rsid w:val="00A51D3B"/>
    <w:rsid w:val="00A51E51"/>
    <w:rsid w:val="00A51ED6"/>
    <w:rsid w:val="00A551E6"/>
    <w:rsid w:val="00A56AE3"/>
    <w:rsid w:val="00A5767A"/>
    <w:rsid w:val="00A576B4"/>
    <w:rsid w:val="00A60A57"/>
    <w:rsid w:val="00A60C40"/>
    <w:rsid w:val="00A6120B"/>
    <w:rsid w:val="00A6168C"/>
    <w:rsid w:val="00A61703"/>
    <w:rsid w:val="00A62B06"/>
    <w:rsid w:val="00A62B79"/>
    <w:rsid w:val="00A64A39"/>
    <w:rsid w:val="00A64C5C"/>
    <w:rsid w:val="00A65997"/>
    <w:rsid w:val="00A66C40"/>
    <w:rsid w:val="00A70C7A"/>
    <w:rsid w:val="00A72A73"/>
    <w:rsid w:val="00A7465F"/>
    <w:rsid w:val="00A7770D"/>
    <w:rsid w:val="00A80A9D"/>
    <w:rsid w:val="00A80DC4"/>
    <w:rsid w:val="00A83B1A"/>
    <w:rsid w:val="00A850FB"/>
    <w:rsid w:val="00A9118C"/>
    <w:rsid w:val="00A91CC0"/>
    <w:rsid w:val="00A9223A"/>
    <w:rsid w:val="00A93604"/>
    <w:rsid w:val="00A9410D"/>
    <w:rsid w:val="00AA18F4"/>
    <w:rsid w:val="00AA22AB"/>
    <w:rsid w:val="00AA2630"/>
    <w:rsid w:val="00AA3541"/>
    <w:rsid w:val="00AA38BE"/>
    <w:rsid w:val="00AA3D57"/>
    <w:rsid w:val="00AA63B7"/>
    <w:rsid w:val="00AA6FAD"/>
    <w:rsid w:val="00AB0498"/>
    <w:rsid w:val="00AB05FE"/>
    <w:rsid w:val="00AB1E1D"/>
    <w:rsid w:val="00AB222B"/>
    <w:rsid w:val="00AB3171"/>
    <w:rsid w:val="00AB3175"/>
    <w:rsid w:val="00AB45BC"/>
    <w:rsid w:val="00AB47E3"/>
    <w:rsid w:val="00AB4B55"/>
    <w:rsid w:val="00AB4CCD"/>
    <w:rsid w:val="00AB4D6C"/>
    <w:rsid w:val="00AB5982"/>
    <w:rsid w:val="00AB5A76"/>
    <w:rsid w:val="00AB63B9"/>
    <w:rsid w:val="00AB752C"/>
    <w:rsid w:val="00AC0195"/>
    <w:rsid w:val="00AC0D27"/>
    <w:rsid w:val="00AC0D87"/>
    <w:rsid w:val="00AC48BB"/>
    <w:rsid w:val="00AC5082"/>
    <w:rsid w:val="00AD03EE"/>
    <w:rsid w:val="00AD0C87"/>
    <w:rsid w:val="00AD0DF7"/>
    <w:rsid w:val="00AD0FC3"/>
    <w:rsid w:val="00AD3068"/>
    <w:rsid w:val="00AD36CE"/>
    <w:rsid w:val="00AD3B2D"/>
    <w:rsid w:val="00AD4605"/>
    <w:rsid w:val="00AD4E00"/>
    <w:rsid w:val="00AD5CB9"/>
    <w:rsid w:val="00AE00C9"/>
    <w:rsid w:val="00AE0801"/>
    <w:rsid w:val="00AE0F39"/>
    <w:rsid w:val="00AE11BA"/>
    <w:rsid w:val="00AE3F5A"/>
    <w:rsid w:val="00AE53C7"/>
    <w:rsid w:val="00AE6F7B"/>
    <w:rsid w:val="00AE7B1D"/>
    <w:rsid w:val="00AE7BA9"/>
    <w:rsid w:val="00AF048D"/>
    <w:rsid w:val="00AF12A3"/>
    <w:rsid w:val="00AF1928"/>
    <w:rsid w:val="00AF2945"/>
    <w:rsid w:val="00AF3DB2"/>
    <w:rsid w:val="00AF5470"/>
    <w:rsid w:val="00AF626D"/>
    <w:rsid w:val="00AF6778"/>
    <w:rsid w:val="00AF77A9"/>
    <w:rsid w:val="00B00904"/>
    <w:rsid w:val="00B01030"/>
    <w:rsid w:val="00B02105"/>
    <w:rsid w:val="00B0254C"/>
    <w:rsid w:val="00B02C3A"/>
    <w:rsid w:val="00B03CF8"/>
    <w:rsid w:val="00B0436D"/>
    <w:rsid w:val="00B058F5"/>
    <w:rsid w:val="00B05E16"/>
    <w:rsid w:val="00B06A4A"/>
    <w:rsid w:val="00B07245"/>
    <w:rsid w:val="00B13472"/>
    <w:rsid w:val="00B14774"/>
    <w:rsid w:val="00B148A1"/>
    <w:rsid w:val="00B15206"/>
    <w:rsid w:val="00B16135"/>
    <w:rsid w:val="00B20055"/>
    <w:rsid w:val="00B20338"/>
    <w:rsid w:val="00B21557"/>
    <w:rsid w:val="00B22CD9"/>
    <w:rsid w:val="00B22D40"/>
    <w:rsid w:val="00B24CF4"/>
    <w:rsid w:val="00B25407"/>
    <w:rsid w:val="00B254F8"/>
    <w:rsid w:val="00B25DD1"/>
    <w:rsid w:val="00B27770"/>
    <w:rsid w:val="00B3021C"/>
    <w:rsid w:val="00B3361A"/>
    <w:rsid w:val="00B33F6C"/>
    <w:rsid w:val="00B35706"/>
    <w:rsid w:val="00B35B20"/>
    <w:rsid w:val="00B35D6C"/>
    <w:rsid w:val="00B37AF1"/>
    <w:rsid w:val="00B40209"/>
    <w:rsid w:val="00B40EFC"/>
    <w:rsid w:val="00B417FF"/>
    <w:rsid w:val="00B42B26"/>
    <w:rsid w:val="00B42FD4"/>
    <w:rsid w:val="00B4551A"/>
    <w:rsid w:val="00B46D31"/>
    <w:rsid w:val="00B46F18"/>
    <w:rsid w:val="00B47CC7"/>
    <w:rsid w:val="00B506F6"/>
    <w:rsid w:val="00B5080B"/>
    <w:rsid w:val="00B50D14"/>
    <w:rsid w:val="00B51DF4"/>
    <w:rsid w:val="00B5258D"/>
    <w:rsid w:val="00B53B8C"/>
    <w:rsid w:val="00B55F18"/>
    <w:rsid w:val="00B60164"/>
    <w:rsid w:val="00B616CE"/>
    <w:rsid w:val="00B61914"/>
    <w:rsid w:val="00B61B1A"/>
    <w:rsid w:val="00B61FBE"/>
    <w:rsid w:val="00B62246"/>
    <w:rsid w:val="00B62B5F"/>
    <w:rsid w:val="00B63451"/>
    <w:rsid w:val="00B63E24"/>
    <w:rsid w:val="00B6543B"/>
    <w:rsid w:val="00B6694D"/>
    <w:rsid w:val="00B70E93"/>
    <w:rsid w:val="00B70F69"/>
    <w:rsid w:val="00B71139"/>
    <w:rsid w:val="00B714AC"/>
    <w:rsid w:val="00B7281B"/>
    <w:rsid w:val="00B733D0"/>
    <w:rsid w:val="00B73525"/>
    <w:rsid w:val="00B7430F"/>
    <w:rsid w:val="00B74C5C"/>
    <w:rsid w:val="00B75940"/>
    <w:rsid w:val="00B75F5F"/>
    <w:rsid w:val="00B76546"/>
    <w:rsid w:val="00B767C0"/>
    <w:rsid w:val="00B77493"/>
    <w:rsid w:val="00B80D7A"/>
    <w:rsid w:val="00B81E2B"/>
    <w:rsid w:val="00B8208F"/>
    <w:rsid w:val="00B82C83"/>
    <w:rsid w:val="00B83041"/>
    <w:rsid w:val="00B84A6C"/>
    <w:rsid w:val="00B858BD"/>
    <w:rsid w:val="00B85FC6"/>
    <w:rsid w:val="00B867EC"/>
    <w:rsid w:val="00B87670"/>
    <w:rsid w:val="00B9107F"/>
    <w:rsid w:val="00B9257F"/>
    <w:rsid w:val="00B925E5"/>
    <w:rsid w:val="00B952CB"/>
    <w:rsid w:val="00BA063E"/>
    <w:rsid w:val="00BA1A76"/>
    <w:rsid w:val="00BA3C3E"/>
    <w:rsid w:val="00BA5930"/>
    <w:rsid w:val="00BA59EB"/>
    <w:rsid w:val="00BA655A"/>
    <w:rsid w:val="00BB0890"/>
    <w:rsid w:val="00BB10E0"/>
    <w:rsid w:val="00BB2A0A"/>
    <w:rsid w:val="00BB2C92"/>
    <w:rsid w:val="00BB3E37"/>
    <w:rsid w:val="00BB3E7E"/>
    <w:rsid w:val="00BB4C0C"/>
    <w:rsid w:val="00BB55FB"/>
    <w:rsid w:val="00BB60DB"/>
    <w:rsid w:val="00BB6243"/>
    <w:rsid w:val="00BB66E3"/>
    <w:rsid w:val="00BB67B3"/>
    <w:rsid w:val="00BB7C39"/>
    <w:rsid w:val="00BB7D3F"/>
    <w:rsid w:val="00BC0844"/>
    <w:rsid w:val="00BC2F12"/>
    <w:rsid w:val="00BC3709"/>
    <w:rsid w:val="00BC4801"/>
    <w:rsid w:val="00BC5B73"/>
    <w:rsid w:val="00BC7148"/>
    <w:rsid w:val="00BC7C88"/>
    <w:rsid w:val="00BD1C99"/>
    <w:rsid w:val="00BD22BE"/>
    <w:rsid w:val="00BD3DF1"/>
    <w:rsid w:val="00BD5C52"/>
    <w:rsid w:val="00BD78C7"/>
    <w:rsid w:val="00BE040E"/>
    <w:rsid w:val="00BE6B46"/>
    <w:rsid w:val="00BE7D9E"/>
    <w:rsid w:val="00BF0988"/>
    <w:rsid w:val="00BF0BEF"/>
    <w:rsid w:val="00BF1DC5"/>
    <w:rsid w:val="00BF2634"/>
    <w:rsid w:val="00BF2EFD"/>
    <w:rsid w:val="00BF5636"/>
    <w:rsid w:val="00BF58BD"/>
    <w:rsid w:val="00BF6F02"/>
    <w:rsid w:val="00BF74D0"/>
    <w:rsid w:val="00C013A2"/>
    <w:rsid w:val="00C03143"/>
    <w:rsid w:val="00C03A54"/>
    <w:rsid w:val="00C04015"/>
    <w:rsid w:val="00C0427E"/>
    <w:rsid w:val="00C04C8A"/>
    <w:rsid w:val="00C06BD7"/>
    <w:rsid w:val="00C07674"/>
    <w:rsid w:val="00C0794E"/>
    <w:rsid w:val="00C07F22"/>
    <w:rsid w:val="00C10568"/>
    <w:rsid w:val="00C115FE"/>
    <w:rsid w:val="00C11B34"/>
    <w:rsid w:val="00C11C3D"/>
    <w:rsid w:val="00C12C03"/>
    <w:rsid w:val="00C16878"/>
    <w:rsid w:val="00C17C5B"/>
    <w:rsid w:val="00C21ABE"/>
    <w:rsid w:val="00C23237"/>
    <w:rsid w:val="00C2335C"/>
    <w:rsid w:val="00C23538"/>
    <w:rsid w:val="00C23562"/>
    <w:rsid w:val="00C26889"/>
    <w:rsid w:val="00C35AFA"/>
    <w:rsid w:val="00C4285D"/>
    <w:rsid w:val="00C42EC0"/>
    <w:rsid w:val="00C440BE"/>
    <w:rsid w:val="00C477F6"/>
    <w:rsid w:val="00C514A9"/>
    <w:rsid w:val="00C534C2"/>
    <w:rsid w:val="00C54D1D"/>
    <w:rsid w:val="00C56E5F"/>
    <w:rsid w:val="00C572CE"/>
    <w:rsid w:val="00C57B24"/>
    <w:rsid w:val="00C604BC"/>
    <w:rsid w:val="00C605DB"/>
    <w:rsid w:val="00C61DD3"/>
    <w:rsid w:val="00C646A4"/>
    <w:rsid w:val="00C648E2"/>
    <w:rsid w:val="00C650E8"/>
    <w:rsid w:val="00C675EB"/>
    <w:rsid w:val="00C711C4"/>
    <w:rsid w:val="00C7478B"/>
    <w:rsid w:val="00C75F0B"/>
    <w:rsid w:val="00C80E2E"/>
    <w:rsid w:val="00C80E46"/>
    <w:rsid w:val="00C82425"/>
    <w:rsid w:val="00C82C14"/>
    <w:rsid w:val="00C84068"/>
    <w:rsid w:val="00C85479"/>
    <w:rsid w:val="00C855B6"/>
    <w:rsid w:val="00C8574F"/>
    <w:rsid w:val="00C85FA3"/>
    <w:rsid w:val="00C8780B"/>
    <w:rsid w:val="00C87FCD"/>
    <w:rsid w:val="00C90764"/>
    <w:rsid w:val="00C90EE6"/>
    <w:rsid w:val="00C91D12"/>
    <w:rsid w:val="00C929FB"/>
    <w:rsid w:val="00C94271"/>
    <w:rsid w:val="00C969B5"/>
    <w:rsid w:val="00C9751C"/>
    <w:rsid w:val="00CA06AB"/>
    <w:rsid w:val="00CA0C06"/>
    <w:rsid w:val="00CA0D0F"/>
    <w:rsid w:val="00CA156F"/>
    <w:rsid w:val="00CA2137"/>
    <w:rsid w:val="00CA2C3C"/>
    <w:rsid w:val="00CA3423"/>
    <w:rsid w:val="00CA3A20"/>
    <w:rsid w:val="00CA7454"/>
    <w:rsid w:val="00CB4206"/>
    <w:rsid w:val="00CB470A"/>
    <w:rsid w:val="00CB4A63"/>
    <w:rsid w:val="00CB4B6B"/>
    <w:rsid w:val="00CB62D6"/>
    <w:rsid w:val="00CB6654"/>
    <w:rsid w:val="00CB6AA1"/>
    <w:rsid w:val="00CC0759"/>
    <w:rsid w:val="00CC282F"/>
    <w:rsid w:val="00CC2C21"/>
    <w:rsid w:val="00CC32EE"/>
    <w:rsid w:val="00CC351C"/>
    <w:rsid w:val="00CC3661"/>
    <w:rsid w:val="00CC6372"/>
    <w:rsid w:val="00CC67EB"/>
    <w:rsid w:val="00CC6C0D"/>
    <w:rsid w:val="00CC711C"/>
    <w:rsid w:val="00CD1AEE"/>
    <w:rsid w:val="00CD1EDA"/>
    <w:rsid w:val="00CD6C24"/>
    <w:rsid w:val="00CD7370"/>
    <w:rsid w:val="00CD73EF"/>
    <w:rsid w:val="00CD7F2E"/>
    <w:rsid w:val="00CE099A"/>
    <w:rsid w:val="00CE4301"/>
    <w:rsid w:val="00CE656E"/>
    <w:rsid w:val="00CE753B"/>
    <w:rsid w:val="00CF1728"/>
    <w:rsid w:val="00CF288C"/>
    <w:rsid w:val="00CF743C"/>
    <w:rsid w:val="00CF7878"/>
    <w:rsid w:val="00CF7E03"/>
    <w:rsid w:val="00D01362"/>
    <w:rsid w:val="00D01B3D"/>
    <w:rsid w:val="00D02A41"/>
    <w:rsid w:val="00D03D68"/>
    <w:rsid w:val="00D05152"/>
    <w:rsid w:val="00D05BD7"/>
    <w:rsid w:val="00D10EAC"/>
    <w:rsid w:val="00D12D46"/>
    <w:rsid w:val="00D13170"/>
    <w:rsid w:val="00D148A2"/>
    <w:rsid w:val="00D1497D"/>
    <w:rsid w:val="00D1577B"/>
    <w:rsid w:val="00D15A48"/>
    <w:rsid w:val="00D20938"/>
    <w:rsid w:val="00D20B8C"/>
    <w:rsid w:val="00D20C54"/>
    <w:rsid w:val="00D22342"/>
    <w:rsid w:val="00D2268F"/>
    <w:rsid w:val="00D227A0"/>
    <w:rsid w:val="00D23320"/>
    <w:rsid w:val="00D248ED"/>
    <w:rsid w:val="00D26244"/>
    <w:rsid w:val="00D27AC4"/>
    <w:rsid w:val="00D3095E"/>
    <w:rsid w:val="00D322E3"/>
    <w:rsid w:val="00D327F4"/>
    <w:rsid w:val="00D3363D"/>
    <w:rsid w:val="00D33815"/>
    <w:rsid w:val="00D349EA"/>
    <w:rsid w:val="00D34BC1"/>
    <w:rsid w:val="00D36FB3"/>
    <w:rsid w:val="00D40676"/>
    <w:rsid w:val="00D40E46"/>
    <w:rsid w:val="00D40EF2"/>
    <w:rsid w:val="00D42B67"/>
    <w:rsid w:val="00D44655"/>
    <w:rsid w:val="00D4503F"/>
    <w:rsid w:val="00D450E3"/>
    <w:rsid w:val="00D45177"/>
    <w:rsid w:val="00D45193"/>
    <w:rsid w:val="00D45A24"/>
    <w:rsid w:val="00D46B2A"/>
    <w:rsid w:val="00D46BB6"/>
    <w:rsid w:val="00D46CB9"/>
    <w:rsid w:val="00D47CF9"/>
    <w:rsid w:val="00D53E00"/>
    <w:rsid w:val="00D55208"/>
    <w:rsid w:val="00D566BA"/>
    <w:rsid w:val="00D56CA3"/>
    <w:rsid w:val="00D56E3E"/>
    <w:rsid w:val="00D6004D"/>
    <w:rsid w:val="00D61E5D"/>
    <w:rsid w:val="00D654FE"/>
    <w:rsid w:val="00D66DB2"/>
    <w:rsid w:val="00D675D1"/>
    <w:rsid w:val="00D675EF"/>
    <w:rsid w:val="00D72044"/>
    <w:rsid w:val="00D7245A"/>
    <w:rsid w:val="00D726C1"/>
    <w:rsid w:val="00D72C3A"/>
    <w:rsid w:val="00D7383C"/>
    <w:rsid w:val="00D73A69"/>
    <w:rsid w:val="00D749ED"/>
    <w:rsid w:val="00D82345"/>
    <w:rsid w:val="00D82E37"/>
    <w:rsid w:val="00D831A5"/>
    <w:rsid w:val="00D8645F"/>
    <w:rsid w:val="00D87717"/>
    <w:rsid w:val="00D90856"/>
    <w:rsid w:val="00D90D19"/>
    <w:rsid w:val="00D91DFF"/>
    <w:rsid w:val="00D946CA"/>
    <w:rsid w:val="00D9477B"/>
    <w:rsid w:val="00D95FC4"/>
    <w:rsid w:val="00D96423"/>
    <w:rsid w:val="00D9674E"/>
    <w:rsid w:val="00D969E7"/>
    <w:rsid w:val="00D97705"/>
    <w:rsid w:val="00DA100C"/>
    <w:rsid w:val="00DA3F81"/>
    <w:rsid w:val="00DA5784"/>
    <w:rsid w:val="00DA58B1"/>
    <w:rsid w:val="00DA5F99"/>
    <w:rsid w:val="00DA6054"/>
    <w:rsid w:val="00DA6117"/>
    <w:rsid w:val="00DA793A"/>
    <w:rsid w:val="00DB1822"/>
    <w:rsid w:val="00DB25ED"/>
    <w:rsid w:val="00DB2903"/>
    <w:rsid w:val="00DB2EAF"/>
    <w:rsid w:val="00DB32F5"/>
    <w:rsid w:val="00DB38F4"/>
    <w:rsid w:val="00DB3DFF"/>
    <w:rsid w:val="00DB49FB"/>
    <w:rsid w:val="00DB6CE9"/>
    <w:rsid w:val="00DC0A46"/>
    <w:rsid w:val="00DC64A5"/>
    <w:rsid w:val="00DC749D"/>
    <w:rsid w:val="00DD05FD"/>
    <w:rsid w:val="00DD1069"/>
    <w:rsid w:val="00DD147C"/>
    <w:rsid w:val="00DD19D2"/>
    <w:rsid w:val="00DD1B01"/>
    <w:rsid w:val="00DD211A"/>
    <w:rsid w:val="00DD4F48"/>
    <w:rsid w:val="00DD65F6"/>
    <w:rsid w:val="00DD7FCC"/>
    <w:rsid w:val="00DE2088"/>
    <w:rsid w:val="00DE2518"/>
    <w:rsid w:val="00DE661E"/>
    <w:rsid w:val="00DE7DBE"/>
    <w:rsid w:val="00DF101B"/>
    <w:rsid w:val="00DF101E"/>
    <w:rsid w:val="00DF153E"/>
    <w:rsid w:val="00DF19F1"/>
    <w:rsid w:val="00DF1A2A"/>
    <w:rsid w:val="00DF2080"/>
    <w:rsid w:val="00DF39B8"/>
    <w:rsid w:val="00DF51DC"/>
    <w:rsid w:val="00DF59F8"/>
    <w:rsid w:val="00DF6F48"/>
    <w:rsid w:val="00DF7964"/>
    <w:rsid w:val="00E030B2"/>
    <w:rsid w:val="00E03704"/>
    <w:rsid w:val="00E05799"/>
    <w:rsid w:val="00E0617F"/>
    <w:rsid w:val="00E0644A"/>
    <w:rsid w:val="00E07CFF"/>
    <w:rsid w:val="00E103B4"/>
    <w:rsid w:val="00E1151F"/>
    <w:rsid w:val="00E13732"/>
    <w:rsid w:val="00E14C75"/>
    <w:rsid w:val="00E1523F"/>
    <w:rsid w:val="00E15C71"/>
    <w:rsid w:val="00E16597"/>
    <w:rsid w:val="00E17A27"/>
    <w:rsid w:val="00E20254"/>
    <w:rsid w:val="00E207DA"/>
    <w:rsid w:val="00E20912"/>
    <w:rsid w:val="00E218B1"/>
    <w:rsid w:val="00E22F63"/>
    <w:rsid w:val="00E23ED3"/>
    <w:rsid w:val="00E253A6"/>
    <w:rsid w:val="00E272B5"/>
    <w:rsid w:val="00E278F7"/>
    <w:rsid w:val="00E27EF3"/>
    <w:rsid w:val="00E312E7"/>
    <w:rsid w:val="00E33367"/>
    <w:rsid w:val="00E348AB"/>
    <w:rsid w:val="00E40714"/>
    <w:rsid w:val="00E40BC4"/>
    <w:rsid w:val="00E413CF"/>
    <w:rsid w:val="00E4263B"/>
    <w:rsid w:val="00E42955"/>
    <w:rsid w:val="00E43282"/>
    <w:rsid w:val="00E43353"/>
    <w:rsid w:val="00E44969"/>
    <w:rsid w:val="00E4533A"/>
    <w:rsid w:val="00E47F4A"/>
    <w:rsid w:val="00E503E2"/>
    <w:rsid w:val="00E5084F"/>
    <w:rsid w:val="00E51A83"/>
    <w:rsid w:val="00E52F2A"/>
    <w:rsid w:val="00E5321C"/>
    <w:rsid w:val="00E54163"/>
    <w:rsid w:val="00E54ED4"/>
    <w:rsid w:val="00E55FF2"/>
    <w:rsid w:val="00E56EF5"/>
    <w:rsid w:val="00E57280"/>
    <w:rsid w:val="00E60069"/>
    <w:rsid w:val="00E60D7C"/>
    <w:rsid w:val="00E62162"/>
    <w:rsid w:val="00E648F4"/>
    <w:rsid w:val="00E6778F"/>
    <w:rsid w:val="00E733F2"/>
    <w:rsid w:val="00E73AF2"/>
    <w:rsid w:val="00E7430A"/>
    <w:rsid w:val="00E7476C"/>
    <w:rsid w:val="00E748CB"/>
    <w:rsid w:val="00E74CAA"/>
    <w:rsid w:val="00E75BEF"/>
    <w:rsid w:val="00E768A9"/>
    <w:rsid w:val="00E800AC"/>
    <w:rsid w:val="00E81A96"/>
    <w:rsid w:val="00E822F1"/>
    <w:rsid w:val="00E8263E"/>
    <w:rsid w:val="00E836CA"/>
    <w:rsid w:val="00E83A55"/>
    <w:rsid w:val="00E8400B"/>
    <w:rsid w:val="00E85F62"/>
    <w:rsid w:val="00E87A70"/>
    <w:rsid w:val="00E91C2F"/>
    <w:rsid w:val="00E951AC"/>
    <w:rsid w:val="00E963F3"/>
    <w:rsid w:val="00E965D2"/>
    <w:rsid w:val="00E96660"/>
    <w:rsid w:val="00EA34A3"/>
    <w:rsid w:val="00EA35C7"/>
    <w:rsid w:val="00EA38ED"/>
    <w:rsid w:val="00EA3918"/>
    <w:rsid w:val="00EA6B1D"/>
    <w:rsid w:val="00EA6C61"/>
    <w:rsid w:val="00EA7399"/>
    <w:rsid w:val="00EB0786"/>
    <w:rsid w:val="00EB2F90"/>
    <w:rsid w:val="00EB3CC4"/>
    <w:rsid w:val="00EB48D5"/>
    <w:rsid w:val="00EB5CAE"/>
    <w:rsid w:val="00EB5F59"/>
    <w:rsid w:val="00EB6C7D"/>
    <w:rsid w:val="00EB6DFF"/>
    <w:rsid w:val="00EB7663"/>
    <w:rsid w:val="00EB78AE"/>
    <w:rsid w:val="00EB7A62"/>
    <w:rsid w:val="00EC0730"/>
    <w:rsid w:val="00EC0AA7"/>
    <w:rsid w:val="00EC3375"/>
    <w:rsid w:val="00EC39FB"/>
    <w:rsid w:val="00EC42AC"/>
    <w:rsid w:val="00EC56B6"/>
    <w:rsid w:val="00EC7FD5"/>
    <w:rsid w:val="00ED0EBA"/>
    <w:rsid w:val="00ED6A89"/>
    <w:rsid w:val="00ED79C0"/>
    <w:rsid w:val="00EE1279"/>
    <w:rsid w:val="00EE2650"/>
    <w:rsid w:val="00EE2CDD"/>
    <w:rsid w:val="00EE2D63"/>
    <w:rsid w:val="00EE418C"/>
    <w:rsid w:val="00EE5296"/>
    <w:rsid w:val="00EE56AD"/>
    <w:rsid w:val="00EE773F"/>
    <w:rsid w:val="00EE778A"/>
    <w:rsid w:val="00EF1249"/>
    <w:rsid w:val="00EF1577"/>
    <w:rsid w:val="00EF40EA"/>
    <w:rsid w:val="00EF4481"/>
    <w:rsid w:val="00EF5F40"/>
    <w:rsid w:val="00EF6604"/>
    <w:rsid w:val="00EF7F46"/>
    <w:rsid w:val="00F000D4"/>
    <w:rsid w:val="00F0164F"/>
    <w:rsid w:val="00F01CBE"/>
    <w:rsid w:val="00F02F41"/>
    <w:rsid w:val="00F03D7A"/>
    <w:rsid w:val="00F042DC"/>
    <w:rsid w:val="00F0470A"/>
    <w:rsid w:val="00F04BE8"/>
    <w:rsid w:val="00F05DB4"/>
    <w:rsid w:val="00F1113C"/>
    <w:rsid w:val="00F12293"/>
    <w:rsid w:val="00F12D5E"/>
    <w:rsid w:val="00F12EB8"/>
    <w:rsid w:val="00F14C31"/>
    <w:rsid w:val="00F20198"/>
    <w:rsid w:val="00F2052B"/>
    <w:rsid w:val="00F20EDC"/>
    <w:rsid w:val="00F23BE8"/>
    <w:rsid w:val="00F30B38"/>
    <w:rsid w:val="00F31601"/>
    <w:rsid w:val="00F31C63"/>
    <w:rsid w:val="00F31CE5"/>
    <w:rsid w:val="00F32667"/>
    <w:rsid w:val="00F336AD"/>
    <w:rsid w:val="00F33B74"/>
    <w:rsid w:val="00F351DD"/>
    <w:rsid w:val="00F35DE3"/>
    <w:rsid w:val="00F3630F"/>
    <w:rsid w:val="00F36554"/>
    <w:rsid w:val="00F366AF"/>
    <w:rsid w:val="00F371C4"/>
    <w:rsid w:val="00F3781E"/>
    <w:rsid w:val="00F37B06"/>
    <w:rsid w:val="00F401F4"/>
    <w:rsid w:val="00F4255C"/>
    <w:rsid w:val="00F4335C"/>
    <w:rsid w:val="00F43820"/>
    <w:rsid w:val="00F443BA"/>
    <w:rsid w:val="00F45EE4"/>
    <w:rsid w:val="00F46036"/>
    <w:rsid w:val="00F46758"/>
    <w:rsid w:val="00F508EF"/>
    <w:rsid w:val="00F514B9"/>
    <w:rsid w:val="00F517DD"/>
    <w:rsid w:val="00F51EC2"/>
    <w:rsid w:val="00F520EF"/>
    <w:rsid w:val="00F52DAD"/>
    <w:rsid w:val="00F554AD"/>
    <w:rsid w:val="00F55DA2"/>
    <w:rsid w:val="00F60664"/>
    <w:rsid w:val="00F620A2"/>
    <w:rsid w:val="00F62CF0"/>
    <w:rsid w:val="00F64335"/>
    <w:rsid w:val="00F65BFF"/>
    <w:rsid w:val="00F66871"/>
    <w:rsid w:val="00F703BF"/>
    <w:rsid w:val="00F704C5"/>
    <w:rsid w:val="00F70C9B"/>
    <w:rsid w:val="00F721EF"/>
    <w:rsid w:val="00F72410"/>
    <w:rsid w:val="00F74FC1"/>
    <w:rsid w:val="00F76A3C"/>
    <w:rsid w:val="00F8117C"/>
    <w:rsid w:val="00F81AE3"/>
    <w:rsid w:val="00F825D9"/>
    <w:rsid w:val="00F82FBF"/>
    <w:rsid w:val="00F831BA"/>
    <w:rsid w:val="00F84746"/>
    <w:rsid w:val="00F84794"/>
    <w:rsid w:val="00F84A6B"/>
    <w:rsid w:val="00F85506"/>
    <w:rsid w:val="00F87543"/>
    <w:rsid w:val="00F900CA"/>
    <w:rsid w:val="00F909BC"/>
    <w:rsid w:val="00F916CA"/>
    <w:rsid w:val="00F92EB3"/>
    <w:rsid w:val="00F93936"/>
    <w:rsid w:val="00F94EB7"/>
    <w:rsid w:val="00F959E1"/>
    <w:rsid w:val="00FA0D43"/>
    <w:rsid w:val="00FA2387"/>
    <w:rsid w:val="00FA32C0"/>
    <w:rsid w:val="00FA53BB"/>
    <w:rsid w:val="00FA5B79"/>
    <w:rsid w:val="00FA5F94"/>
    <w:rsid w:val="00FA62C3"/>
    <w:rsid w:val="00FB2816"/>
    <w:rsid w:val="00FB3CD7"/>
    <w:rsid w:val="00FB4DD2"/>
    <w:rsid w:val="00FB6C3C"/>
    <w:rsid w:val="00FB710C"/>
    <w:rsid w:val="00FC280E"/>
    <w:rsid w:val="00FC4508"/>
    <w:rsid w:val="00FC4E89"/>
    <w:rsid w:val="00FC6D2A"/>
    <w:rsid w:val="00FC6F5C"/>
    <w:rsid w:val="00FD0963"/>
    <w:rsid w:val="00FD1758"/>
    <w:rsid w:val="00FD1899"/>
    <w:rsid w:val="00FD2639"/>
    <w:rsid w:val="00FD2A61"/>
    <w:rsid w:val="00FD4DE7"/>
    <w:rsid w:val="00FD52C8"/>
    <w:rsid w:val="00FD7045"/>
    <w:rsid w:val="00FD7514"/>
    <w:rsid w:val="00FD7808"/>
    <w:rsid w:val="00FD7F6F"/>
    <w:rsid w:val="00FE31DF"/>
    <w:rsid w:val="00FE358E"/>
    <w:rsid w:val="00FE4841"/>
    <w:rsid w:val="00FE4FDF"/>
    <w:rsid w:val="00FE5278"/>
    <w:rsid w:val="00FE531E"/>
    <w:rsid w:val="00FE5521"/>
    <w:rsid w:val="00FE5965"/>
    <w:rsid w:val="00FF0AE4"/>
    <w:rsid w:val="00FF1C6F"/>
    <w:rsid w:val="00FF33A3"/>
    <w:rsid w:val="00FF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32BD1"/>
  <w15:docId w15:val="{02F3127E-AF7C-44FC-A1CA-BAF735A9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C50F4"/>
    <w:pPr>
      <w:spacing w:after="200" w:line="276" w:lineRule="auto"/>
    </w:pPr>
  </w:style>
  <w:style w:type="paragraph" w:styleId="Virsraksts1">
    <w:name w:val="heading 1"/>
    <w:basedOn w:val="Parasts"/>
    <w:next w:val="Parasts"/>
    <w:link w:val="Virsraksts1Rakstz"/>
    <w:uiPriority w:val="9"/>
    <w:qFormat/>
    <w:rsid w:val="00EC39FB"/>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Virsraksts2">
    <w:name w:val="heading 2"/>
    <w:basedOn w:val="Parasts"/>
    <w:next w:val="Parasts"/>
    <w:link w:val="Virsraksts2Rakstz"/>
    <w:uiPriority w:val="9"/>
    <w:unhideWhenUsed/>
    <w:qFormat/>
    <w:rsid w:val="00EC39FB"/>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Virsraksts3">
    <w:name w:val="heading 3"/>
    <w:basedOn w:val="Parasts"/>
    <w:next w:val="Parasts"/>
    <w:link w:val="Virsraksts3Rakstz"/>
    <w:unhideWhenUsed/>
    <w:qFormat/>
    <w:rsid w:val="00EC39F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Virsraksts4">
    <w:name w:val="heading 4"/>
    <w:basedOn w:val="Parasts"/>
    <w:next w:val="Parasts"/>
    <w:link w:val="Virsraksts4Rakstz"/>
    <w:uiPriority w:val="9"/>
    <w:unhideWhenUsed/>
    <w:qFormat/>
    <w:rsid w:val="00EC39F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Virsraksts5">
    <w:name w:val="heading 5"/>
    <w:basedOn w:val="Parasts"/>
    <w:next w:val="Parasts"/>
    <w:link w:val="Virsraksts5Rakstz"/>
    <w:uiPriority w:val="9"/>
    <w:unhideWhenUsed/>
    <w:qFormat/>
    <w:rsid w:val="00EC39F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Virsraksts6">
    <w:name w:val="heading 6"/>
    <w:basedOn w:val="Parasts"/>
    <w:next w:val="Parasts"/>
    <w:link w:val="Virsraksts6Rakstz"/>
    <w:uiPriority w:val="9"/>
    <w:unhideWhenUsed/>
    <w:qFormat/>
    <w:rsid w:val="00EC39F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Virsraksts7">
    <w:name w:val="heading 7"/>
    <w:basedOn w:val="Parasts"/>
    <w:next w:val="Parasts"/>
    <w:link w:val="Virsraksts7Rakstz"/>
    <w:uiPriority w:val="9"/>
    <w:unhideWhenUsed/>
    <w:qFormat/>
    <w:rsid w:val="00EC39F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EC39F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rsid w:val="00EC39F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39FB"/>
    <w:rPr>
      <w:rFonts w:asciiTheme="majorHAnsi" w:eastAsiaTheme="majorEastAsia" w:hAnsiTheme="majorHAnsi" w:cstheme="majorBidi"/>
      <w:b/>
      <w:bCs/>
      <w:color w:val="2E74B5" w:themeColor="accent1" w:themeShade="BF"/>
      <w:sz w:val="28"/>
      <w:szCs w:val="28"/>
      <w:lang w:val="lv-LV"/>
    </w:rPr>
  </w:style>
  <w:style w:type="character" w:customStyle="1" w:styleId="Virsraksts2Rakstz">
    <w:name w:val="Virsraksts 2 Rakstz."/>
    <w:basedOn w:val="Noklusjumarindkopasfonts"/>
    <w:link w:val="Virsraksts2"/>
    <w:uiPriority w:val="9"/>
    <w:rsid w:val="00EC39FB"/>
    <w:rPr>
      <w:rFonts w:asciiTheme="majorHAnsi" w:eastAsiaTheme="majorEastAsia" w:hAnsiTheme="majorHAnsi" w:cstheme="majorBidi"/>
      <w:b/>
      <w:bCs/>
      <w:color w:val="5B9BD5" w:themeColor="accent1"/>
      <w:sz w:val="26"/>
      <w:szCs w:val="26"/>
      <w:lang w:val="lv-LV"/>
    </w:rPr>
  </w:style>
  <w:style w:type="character" w:customStyle="1" w:styleId="Virsraksts3Rakstz">
    <w:name w:val="Virsraksts 3 Rakstz."/>
    <w:basedOn w:val="Noklusjumarindkopasfonts"/>
    <w:link w:val="Virsraksts3"/>
    <w:rsid w:val="00EC39FB"/>
    <w:rPr>
      <w:rFonts w:asciiTheme="majorHAnsi" w:eastAsiaTheme="majorEastAsia" w:hAnsiTheme="majorHAnsi" w:cstheme="majorBidi"/>
      <w:b/>
      <w:bCs/>
      <w:color w:val="5B9BD5" w:themeColor="accent1"/>
      <w:lang w:val="lv-LV"/>
    </w:rPr>
  </w:style>
  <w:style w:type="character" w:customStyle="1" w:styleId="Virsraksts4Rakstz">
    <w:name w:val="Virsraksts 4 Rakstz."/>
    <w:basedOn w:val="Noklusjumarindkopasfonts"/>
    <w:link w:val="Virsraksts4"/>
    <w:uiPriority w:val="9"/>
    <w:rsid w:val="00EC39FB"/>
    <w:rPr>
      <w:rFonts w:asciiTheme="majorHAnsi" w:eastAsiaTheme="majorEastAsia" w:hAnsiTheme="majorHAnsi" w:cstheme="majorBidi"/>
      <w:b/>
      <w:bCs/>
      <w:i/>
      <w:iCs/>
      <w:color w:val="5B9BD5" w:themeColor="accent1"/>
      <w:lang w:val="lv-LV"/>
    </w:rPr>
  </w:style>
  <w:style w:type="character" w:customStyle="1" w:styleId="Virsraksts5Rakstz">
    <w:name w:val="Virsraksts 5 Rakstz."/>
    <w:basedOn w:val="Noklusjumarindkopasfonts"/>
    <w:link w:val="Virsraksts5"/>
    <w:uiPriority w:val="9"/>
    <w:rsid w:val="00EC39FB"/>
    <w:rPr>
      <w:rFonts w:asciiTheme="majorHAnsi" w:eastAsiaTheme="majorEastAsia" w:hAnsiTheme="majorHAnsi" w:cstheme="majorBidi"/>
      <w:color w:val="1F4D78" w:themeColor="accent1" w:themeShade="7F"/>
      <w:lang w:val="lv-LV"/>
    </w:rPr>
  </w:style>
  <w:style w:type="character" w:customStyle="1" w:styleId="Virsraksts6Rakstz">
    <w:name w:val="Virsraksts 6 Rakstz."/>
    <w:basedOn w:val="Noklusjumarindkopasfonts"/>
    <w:link w:val="Virsraksts6"/>
    <w:uiPriority w:val="9"/>
    <w:rsid w:val="00EC39FB"/>
    <w:rPr>
      <w:rFonts w:asciiTheme="majorHAnsi" w:eastAsiaTheme="majorEastAsia" w:hAnsiTheme="majorHAnsi" w:cstheme="majorBidi"/>
      <w:i/>
      <w:iCs/>
      <w:color w:val="1F4D78" w:themeColor="accent1" w:themeShade="7F"/>
      <w:lang w:val="lv-LV"/>
    </w:rPr>
  </w:style>
  <w:style w:type="character" w:customStyle="1" w:styleId="Virsraksts7Rakstz">
    <w:name w:val="Virsraksts 7 Rakstz."/>
    <w:basedOn w:val="Noklusjumarindkopasfonts"/>
    <w:link w:val="Virsraksts7"/>
    <w:uiPriority w:val="9"/>
    <w:rsid w:val="00EC39FB"/>
    <w:rPr>
      <w:rFonts w:asciiTheme="majorHAnsi" w:eastAsiaTheme="majorEastAsia" w:hAnsiTheme="majorHAnsi" w:cstheme="majorBidi"/>
      <w:i/>
      <w:iCs/>
      <w:color w:val="404040" w:themeColor="text1" w:themeTint="BF"/>
      <w:lang w:val="lv-LV"/>
    </w:rPr>
  </w:style>
  <w:style w:type="character" w:customStyle="1" w:styleId="Virsraksts8Rakstz">
    <w:name w:val="Virsraksts 8 Rakstz."/>
    <w:basedOn w:val="Noklusjumarindkopasfonts"/>
    <w:link w:val="Virsraksts8"/>
    <w:uiPriority w:val="9"/>
    <w:semiHidden/>
    <w:rsid w:val="00EC39FB"/>
    <w:rPr>
      <w:rFonts w:asciiTheme="majorHAnsi" w:eastAsiaTheme="majorEastAsia" w:hAnsiTheme="majorHAnsi" w:cstheme="majorBidi"/>
      <w:color w:val="404040" w:themeColor="text1" w:themeTint="BF"/>
      <w:sz w:val="20"/>
      <w:szCs w:val="20"/>
      <w:lang w:val="lv-LV"/>
    </w:rPr>
  </w:style>
  <w:style w:type="character" w:customStyle="1" w:styleId="Virsraksts9Rakstz">
    <w:name w:val="Virsraksts 9 Rakstz."/>
    <w:basedOn w:val="Noklusjumarindkopasfonts"/>
    <w:link w:val="Virsraksts9"/>
    <w:uiPriority w:val="9"/>
    <w:semiHidden/>
    <w:rsid w:val="00EC39FB"/>
    <w:rPr>
      <w:rFonts w:asciiTheme="majorHAnsi" w:eastAsiaTheme="majorEastAsia" w:hAnsiTheme="majorHAnsi" w:cstheme="majorBidi"/>
      <w:i/>
      <w:iCs/>
      <w:color w:val="404040" w:themeColor="text1" w:themeTint="BF"/>
      <w:sz w:val="20"/>
      <w:szCs w:val="20"/>
      <w:lang w:val="lv-LV"/>
    </w:rPr>
  </w:style>
  <w:style w:type="paragraph" w:styleId="Sarakstarindkopa">
    <w:name w:val="List Paragraph"/>
    <w:basedOn w:val="Parasts"/>
    <w:link w:val="SarakstarindkopaRakstz"/>
    <w:uiPriority w:val="34"/>
    <w:qFormat/>
    <w:rsid w:val="00EC39FB"/>
    <w:pPr>
      <w:ind w:left="720"/>
      <w:contextualSpacing/>
    </w:pPr>
  </w:style>
  <w:style w:type="character" w:styleId="Komentraatsauce">
    <w:name w:val="annotation reference"/>
    <w:basedOn w:val="Noklusjumarindkopasfonts"/>
    <w:uiPriority w:val="99"/>
    <w:semiHidden/>
    <w:unhideWhenUsed/>
    <w:rsid w:val="00EC39FB"/>
    <w:rPr>
      <w:sz w:val="16"/>
      <w:szCs w:val="16"/>
    </w:rPr>
  </w:style>
  <w:style w:type="paragraph" w:styleId="Komentrateksts">
    <w:name w:val="annotation text"/>
    <w:basedOn w:val="Parasts"/>
    <w:link w:val="KomentratekstsRakstz"/>
    <w:uiPriority w:val="99"/>
    <w:unhideWhenUsed/>
    <w:rsid w:val="00EC39F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39FB"/>
    <w:rPr>
      <w:sz w:val="20"/>
      <w:szCs w:val="20"/>
      <w:lang w:val="lv-LV"/>
    </w:rPr>
  </w:style>
  <w:style w:type="paragraph" w:styleId="Vresteksts">
    <w:name w:val="footnote text"/>
    <w:basedOn w:val="Parasts"/>
    <w:link w:val="VrestekstsRakstz"/>
    <w:uiPriority w:val="99"/>
    <w:semiHidden/>
    <w:unhideWhenUsed/>
    <w:rsid w:val="00EC39F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C39FB"/>
    <w:rPr>
      <w:sz w:val="20"/>
      <w:szCs w:val="20"/>
      <w:lang w:val="lv-LV"/>
    </w:rPr>
  </w:style>
  <w:style w:type="character" w:styleId="Vresatsauce">
    <w:name w:val="footnote reference"/>
    <w:basedOn w:val="Noklusjumarindkopasfonts"/>
    <w:uiPriority w:val="99"/>
    <w:semiHidden/>
    <w:unhideWhenUsed/>
    <w:rsid w:val="00EC39FB"/>
    <w:rPr>
      <w:vertAlign w:val="superscript"/>
    </w:rPr>
  </w:style>
  <w:style w:type="paragraph" w:styleId="Balonteksts">
    <w:name w:val="Balloon Text"/>
    <w:basedOn w:val="Parasts"/>
    <w:link w:val="BalontekstsRakstz"/>
    <w:uiPriority w:val="99"/>
    <w:semiHidden/>
    <w:unhideWhenUsed/>
    <w:rsid w:val="00EC39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39FB"/>
    <w:rPr>
      <w:rFonts w:ascii="Segoe UI" w:hAnsi="Segoe UI" w:cs="Segoe UI"/>
      <w:sz w:val="18"/>
      <w:szCs w:val="18"/>
      <w:lang w:val="lv-LV"/>
    </w:rPr>
  </w:style>
  <w:style w:type="paragraph" w:styleId="Saturardtjavirsraksts">
    <w:name w:val="TOC Heading"/>
    <w:basedOn w:val="Virsraksts1"/>
    <w:next w:val="Parasts"/>
    <w:uiPriority w:val="39"/>
    <w:unhideWhenUsed/>
    <w:qFormat/>
    <w:rsid w:val="003F2F23"/>
    <w:pPr>
      <w:numPr>
        <w:numId w:val="0"/>
      </w:numPr>
      <w:spacing w:before="240" w:line="259" w:lineRule="auto"/>
      <w:outlineLvl w:val="9"/>
    </w:pPr>
    <w:rPr>
      <w:b w:val="0"/>
      <w:bCs w:val="0"/>
      <w:sz w:val="32"/>
      <w:szCs w:val="32"/>
    </w:rPr>
  </w:style>
  <w:style w:type="paragraph" w:styleId="Saturs1">
    <w:name w:val="toc 1"/>
    <w:basedOn w:val="Parasts"/>
    <w:next w:val="Parasts"/>
    <w:autoRedefine/>
    <w:uiPriority w:val="39"/>
    <w:unhideWhenUsed/>
    <w:rsid w:val="001F03F8"/>
    <w:pPr>
      <w:tabs>
        <w:tab w:val="left" w:pos="440"/>
        <w:tab w:val="right" w:leader="dot" w:pos="9016"/>
      </w:tabs>
      <w:spacing w:after="100"/>
    </w:pPr>
    <w:rPr>
      <w:rFonts w:asciiTheme="majorHAnsi" w:eastAsiaTheme="majorEastAsia" w:hAnsiTheme="majorHAnsi" w:cstheme="majorBidi"/>
      <w:bCs/>
      <w:noProof/>
    </w:rPr>
  </w:style>
  <w:style w:type="paragraph" w:styleId="Saturs2">
    <w:name w:val="toc 2"/>
    <w:basedOn w:val="Parasts"/>
    <w:next w:val="Parasts"/>
    <w:autoRedefine/>
    <w:uiPriority w:val="39"/>
    <w:unhideWhenUsed/>
    <w:rsid w:val="001F03F8"/>
    <w:pPr>
      <w:tabs>
        <w:tab w:val="left" w:pos="880"/>
        <w:tab w:val="right" w:leader="dot" w:pos="9016"/>
      </w:tabs>
      <w:spacing w:after="100"/>
      <w:ind w:left="220"/>
    </w:pPr>
    <w:rPr>
      <w:rFonts w:asciiTheme="majorHAnsi" w:eastAsiaTheme="majorEastAsia" w:hAnsiTheme="majorHAnsi" w:cstheme="majorBidi"/>
      <w:b/>
      <w:bCs/>
      <w:noProof/>
    </w:rPr>
  </w:style>
  <w:style w:type="paragraph" w:styleId="Saturs3">
    <w:name w:val="toc 3"/>
    <w:basedOn w:val="Parasts"/>
    <w:next w:val="Parasts"/>
    <w:autoRedefine/>
    <w:uiPriority w:val="39"/>
    <w:unhideWhenUsed/>
    <w:rsid w:val="00B61B1A"/>
    <w:pPr>
      <w:tabs>
        <w:tab w:val="left" w:pos="1320"/>
        <w:tab w:val="right" w:leader="dot" w:pos="9016"/>
      </w:tabs>
      <w:spacing w:after="100"/>
      <w:ind w:left="440"/>
    </w:pPr>
    <w:rPr>
      <w:b/>
      <w:noProof/>
    </w:rPr>
  </w:style>
  <w:style w:type="character" w:styleId="Hipersaite">
    <w:name w:val="Hyperlink"/>
    <w:basedOn w:val="Noklusjumarindkopasfonts"/>
    <w:uiPriority w:val="99"/>
    <w:unhideWhenUsed/>
    <w:rsid w:val="003F2F23"/>
    <w:rPr>
      <w:color w:val="0563C1" w:themeColor="hyperlink"/>
      <w:u w:val="single"/>
    </w:rPr>
  </w:style>
  <w:style w:type="paragraph" w:styleId="Komentratma">
    <w:name w:val="annotation subject"/>
    <w:basedOn w:val="Komentrateksts"/>
    <w:next w:val="Komentrateksts"/>
    <w:link w:val="KomentratmaRakstz"/>
    <w:uiPriority w:val="99"/>
    <w:semiHidden/>
    <w:unhideWhenUsed/>
    <w:rsid w:val="00EF7F46"/>
    <w:rPr>
      <w:b/>
      <w:bCs/>
    </w:rPr>
  </w:style>
  <w:style w:type="character" w:customStyle="1" w:styleId="KomentratmaRakstz">
    <w:name w:val="Komentāra tēma Rakstz."/>
    <w:basedOn w:val="KomentratekstsRakstz"/>
    <w:link w:val="Komentratma"/>
    <w:uiPriority w:val="99"/>
    <w:semiHidden/>
    <w:rsid w:val="00EF7F46"/>
    <w:rPr>
      <w:b/>
      <w:bCs/>
      <w:sz w:val="20"/>
      <w:szCs w:val="20"/>
      <w:lang w:val="lv-LV"/>
    </w:rPr>
  </w:style>
  <w:style w:type="character" w:customStyle="1" w:styleId="SarakstarindkopaRakstz">
    <w:name w:val="Saraksta rindkopa Rakstz."/>
    <w:basedOn w:val="Noklusjumarindkopasfonts"/>
    <w:link w:val="Sarakstarindkopa"/>
    <w:uiPriority w:val="34"/>
    <w:locked/>
    <w:rsid w:val="00804C06"/>
    <w:rPr>
      <w:lang w:val="lv-LV"/>
    </w:rPr>
  </w:style>
  <w:style w:type="paragraph" w:styleId="Prskatjums">
    <w:name w:val="Revision"/>
    <w:hidden/>
    <w:uiPriority w:val="99"/>
    <w:semiHidden/>
    <w:rsid w:val="00813D3A"/>
    <w:pPr>
      <w:spacing w:after="0" w:line="240" w:lineRule="auto"/>
    </w:pPr>
  </w:style>
  <w:style w:type="paragraph" w:styleId="Galvene">
    <w:name w:val="header"/>
    <w:basedOn w:val="Parasts"/>
    <w:link w:val="GalveneRakstz"/>
    <w:uiPriority w:val="99"/>
    <w:unhideWhenUsed/>
    <w:rsid w:val="0086033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6033F"/>
    <w:rPr>
      <w:lang w:val="lv-LV"/>
    </w:rPr>
  </w:style>
  <w:style w:type="paragraph" w:styleId="Kjene">
    <w:name w:val="footer"/>
    <w:basedOn w:val="Parasts"/>
    <w:link w:val="KjeneRakstz"/>
    <w:uiPriority w:val="99"/>
    <w:unhideWhenUsed/>
    <w:rsid w:val="0086033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6033F"/>
    <w:rPr>
      <w:lang w:val="lv-LV"/>
    </w:rPr>
  </w:style>
  <w:style w:type="paragraph" w:customStyle="1" w:styleId="boxnumlist">
    <w:name w:val="box_numlist"/>
    <w:basedOn w:val="Sarakstarindkopa"/>
    <w:qFormat/>
    <w:rsid w:val="001C7135"/>
    <w:pPr>
      <w:numPr>
        <w:numId w:val="22"/>
      </w:numPr>
      <w:spacing w:before="60" w:after="60" w:line="240" w:lineRule="auto"/>
      <w:ind w:right="259"/>
      <w:contextualSpacing w:val="0"/>
    </w:pPr>
    <w:rPr>
      <w:rFonts w:ascii="News Gothic GDB" w:eastAsia="Times New Roman" w:hAnsi="News Gothic GDB" w:cs="Times New Roman"/>
      <w:noProof/>
      <w:sz w:val="18"/>
      <w:szCs w:val="18"/>
    </w:rPr>
  </w:style>
  <w:style w:type="paragraph" w:customStyle="1" w:styleId="Boxnumbering2ndlevel">
    <w:name w:val="Box_numbering_2ndlevel"/>
    <w:basedOn w:val="Sarakstarindkopa"/>
    <w:link w:val="Boxnumbering2ndlevelChar"/>
    <w:autoRedefine/>
    <w:qFormat/>
    <w:rsid w:val="001C7135"/>
    <w:pPr>
      <w:numPr>
        <w:numId w:val="20"/>
      </w:numPr>
      <w:jc w:val="both"/>
    </w:pPr>
    <w:rPr>
      <w:rFonts w:ascii="News Gothic GDB" w:eastAsia="Times New Roman" w:hAnsi="News Gothic GDB" w:cs="Times New Roman"/>
      <w:sz w:val="18"/>
      <w:szCs w:val="20"/>
    </w:rPr>
  </w:style>
  <w:style w:type="paragraph" w:customStyle="1" w:styleId="Boxnumbering3rdlevel">
    <w:name w:val="Box_numbering_3rdlevel"/>
    <w:basedOn w:val="Sarakstarindkopa"/>
    <w:link w:val="Boxnumbering3rdlevelChar"/>
    <w:qFormat/>
    <w:rsid w:val="001C7135"/>
    <w:pPr>
      <w:numPr>
        <w:numId w:val="21"/>
      </w:numPr>
      <w:spacing w:line="240" w:lineRule="auto"/>
      <w:ind w:right="259"/>
      <w:jc w:val="both"/>
    </w:pPr>
    <w:rPr>
      <w:rFonts w:ascii="News Gothic GDB" w:eastAsia="Times New Roman" w:hAnsi="News Gothic GDB" w:cs="Times New Roman"/>
      <w:sz w:val="18"/>
      <w:szCs w:val="20"/>
    </w:rPr>
  </w:style>
  <w:style w:type="character" w:customStyle="1" w:styleId="Boxnumbering2ndlevelChar">
    <w:name w:val="Box_numbering_2ndlevel Char"/>
    <w:basedOn w:val="SarakstarindkopaRakstz"/>
    <w:link w:val="Boxnumbering2ndlevel"/>
    <w:rsid w:val="001C7135"/>
    <w:rPr>
      <w:rFonts w:ascii="News Gothic GDB" w:eastAsia="Times New Roman" w:hAnsi="News Gothic GDB" w:cs="Times New Roman"/>
      <w:sz w:val="18"/>
      <w:szCs w:val="20"/>
      <w:lang w:val="lv-LV" w:eastAsia="lv-LV"/>
    </w:rPr>
  </w:style>
  <w:style w:type="character" w:customStyle="1" w:styleId="Boxnumbering3rdlevelChar">
    <w:name w:val="Box_numbering_3rdlevel Char"/>
    <w:basedOn w:val="SarakstarindkopaRakstz"/>
    <w:link w:val="Boxnumbering3rdlevel"/>
    <w:rsid w:val="001C7135"/>
    <w:rPr>
      <w:rFonts w:ascii="News Gothic GDB" w:eastAsia="Times New Roman" w:hAnsi="News Gothic GDB" w:cs="Times New Roman"/>
      <w:sz w:val="18"/>
      <w:szCs w:val="20"/>
      <w:lang w:val="lv-LV" w:eastAsia="lv-LV"/>
    </w:rPr>
  </w:style>
  <w:style w:type="paragraph" w:customStyle="1" w:styleId="Default">
    <w:name w:val="Default"/>
    <w:rsid w:val="00A61703"/>
    <w:pPr>
      <w:autoSpaceDE w:val="0"/>
      <w:autoSpaceDN w:val="0"/>
      <w:adjustRightInd w:val="0"/>
      <w:spacing w:after="0" w:line="240" w:lineRule="auto"/>
    </w:pPr>
    <w:rPr>
      <w:rFonts w:ascii="Verdana" w:hAnsi="Verdana" w:cs="Verdana"/>
      <w:color w:val="000000"/>
      <w:sz w:val="24"/>
      <w:szCs w:val="24"/>
    </w:rPr>
  </w:style>
  <w:style w:type="paragraph" w:customStyle="1" w:styleId="Lijstalinea1">
    <w:name w:val="Lijstalinea1"/>
    <w:basedOn w:val="Parasts"/>
    <w:uiPriority w:val="99"/>
    <w:rsid w:val="00AB1E1D"/>
    <w:pPr>
      <w:spacing w:after="0" w:line="240" w:lineRule="auto"/>
      <w:ind w:left="720"/>
      <w:contextualSpacing/>
      <w:jc w:val="both"/>
    </w:pPr>
    <w:rPr>
      <w:rFonts w:ascii="Times New Roman" w:eastAsia="MS ??" w:hAnsi="Times New Roman" w:cs="Times New Roman"/>
      <w:sz w:val="24"/>
      <w:szCs w:val="24"/>
    </w:rPr>
  </w:style>
  <w:style w:type="table" w:styleId="Reatabula">
    <w:name w:val="Table Grid"/>
    <w:basedOn w:val="Parastatabula"/>
    <w:uiPriority w:val="59"/>
    <w:rsid w:val="00CD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CD1E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CD1E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rsid w:val="000B5E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E7445"/>
    <w:pPr>
      <w:keepLines/>
      <w:tabs>
        <w:tab w:val="left" w:pos="1985"/>
        <w:tab w:val="left" w:pos="5103"/>
      </w:tabs>
      <w:spacing w:after="0" w:line="240" w:lineRule="auto"/>
      <w:jc w:val="both"/>
    </w:pPr>
    <w:rPr>
      <w:rFonts w:ascii="Arial" w:eastAsia="Times New Roman" w:hAnsi="Arial" w:cs="Times New Roman"/>
      <w:szCs w:val="20"/>
    </w:rPr>
  </w:style>
  <w:style w:type="character" w:customStyle="1" w:styleId="tgc">
    <w:name w:val="_tgc"/>
    <w:basedOn w:val="Noklusjumarindkopasfonts"/>
    <w:rsid w:val="00C7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2044">
      <w:bodyDiv w:val="1"/>
      <w:marLeft w:val="0"/>
      <w:marRight w:val="0"/>
      <w:marTop w:val="0"/>
      <w:marBottom w:val="0"/>
      <w:divBdr>
        <w:top w:val="none" w:sz="0" w:space="0" w:color="auto"/>
        <w:left w:val="none" w:sz="0" w:space="0" w:color="auto"/>
        <w:bottom w:val="none" w:sz="0" w:space="0" w:color="auto"/>
        <w:right w:val="none" w:sz="0" w:space="0" w:color="auto"/>
      </w:divBdr>
    </w:div>
    <w:div w:id="92358910">
      <w:bodyDiv w:val="1"/>
      <w:marLeft w:val="0"/>
      <w:marRight w:val="0"/>
      <w:marTop w:val="0"/>
      <w:marBottom w:val="0"/>
      <w:divBdr>
        <w:top w:val="none" w:sz="0" w:space="0" w:color="auto"/>
        <w:left w:val="none" w:sz="0" w:space="0" w:color="auto"/>
        <w:bottom w:val="none" w:sz="0" w:space="0" w:color="auto"/>
        <w:right w:val="none" w:sz="0" w:space="0" w:color="auto"/>
      </w:divBdr>
    </w:div>
    <w:div w:id="93869634">
      <w:bodyDiv w:val="1"/>
      <w:marLeft w:val="0"/>
      <w:marRight w:val="0"/>
      <w:marTop w:val="0"/>
      <w:marBottom w:val="0"/>
      <w:divBdr>
        <w:top w:val="none" w:sz="0" w:space="0" w:color="auto"/>
        <w:left w:val="none" w:sz="0" w:space="0" w:color="auto"/>
        <w:bottom w:val="none" w:sz="0" w:space="0" w:color="auto"/>
        <w:right w:val="none" w:sz="0" w:space="0" w:color="auto"/>
      </w:divBdr>
    </w:div>
    <w:div w:id="113865727">
      <w:bodyDiv w:val="1"/>
      <w:marLeft w:val="0"/>
      <w:marRight w:val="0"/>
      <w:marTop w:val="0"/>
      <w:marBottom w:val="0"/>
      <w:divBdr>
        <w:top w:val="none" w:sz="0" w:space="0" w:color="auto"/>
        <w:left w:val="none" w:sz="0" w:space="0" w:color="auto"/>
        <w:bottom w:val="none" w:sz="0" w:space="0" w:color="auto"/>
        <w:right w:val="none" w:sz="0" w:space="0" w:color="auto"/>
      </w:divBdr>
    </w:div>
    <w:div w:id="122964143">
      <w:bodyDiv w:val="1"/>
      <w:marLeft w:val="0"/>
      <w:marRight w:val="0"/>
      <w:marTop w:val="0"/>
      <w:marBottom w:val="0"/>
      <w:divBdr>
        <w:top w:val="none" w:sz="0" w:space="0" w:color="auto"/>
        <w:left w:val="none" w:sz="0" w:space="0" w:color="auto"/>
        <w:bottom w:val="none" w:sz="0" w:space="0" w:color="auto"/>
        <w:right w:val="none" w:sz="0" w:space="0" w:color="auto"/>
      </w:divBdr>
    </w:div>
    <w:div w:id="227763080">
      <w:bodyDiv w:val="1"/>
      <w:marLeft w:val="0"/>
      <w:marRight w:val="0"/>
      <w:marTop w:val="0"/>
      <w:marBottom w:val="0"/>
      <w:divBdr>
        <w:top w:val="none" w:sz="0" w:space="0" w:color="auto"/>
        <w:left w:val="none" w:sz="0" w:space="0" w:color="auto"/>
        <w:bottom w:val="none" w:sz="0" w:space="0" w:color="auto"/>
        <w:right w:val="none" w:sz="0" w:space="0" w:color="auto"/>
      </w:divBdr>
    </w:div>
    <w:div w:id="255141897">
      <w:bodyDiv w:val="1"/>
      <w:marLeft w:val="0"/>
      <w:marRight w:val="0"/>
      <w:marTop w:val="0"/>
      <w:marBottom w:val="0"/>
      <w:divBdr>
        <w:top w:val="none" w:sz="0" w:space="0" w:color="auto"/>
        <w:left w:val="none" w:sz="0" w:space="0" w:color="auto"/>
        <w:bottom w:val="none" w:sz="0" w:space="0" w:color="auto"/>
        <w:right w:val="none" w:sz="0" w:space="0" w:color="auto"/>
      </w:divBdr>
    </w:div>
    <w:div w:id="488785922">
      <w:bodyDiv w:val="1"/>
      <w:marLeft w:val="0"/>
      <w:marRight w:val="0"/>
      <w:marTop w:val="0"/>
      <w:marBottom w:val="0"/>
      <w:divBdr>
        <w:top w:val="none" w:sz="0" w:space="0" w:color="auto"/>
        <w:left w:val="none" w:sz="0" w:space="0" w:color="auto"/>
        <w:bottom w:val="none" w:sz="0" w:space="0" w:color="auto"/>
        <w:right w:val="none" w:sz="0" w:space="0" w:color="auto"/>
      </w:divBdr>
    </w:div>
    <w:div w:id="541402361">
      <w:bodyDiv w:val="1"/>
      <w:marLeft w:val="0"/>
      <w:marRight w:val="0"/>
      <w:marTop w:val="0"/>
      <w:marBottom w:val="0"/>
      <w:divBdr>
        <w:top w:val="none" w:sz="0" w:space="0" w:color="auto"/>
        <w:left w:val="none" w:sz="0" w:space="0" w:color="auto"/>
        <w:bottom w:val="none" w:sz="0" w:space="0" w:color="auto"/>
        <w:right w:val="none" w:sz="0" w:space="0" w:color="auto"/>
      </w:divBdr>
    </w:div>
    <w:div w:id="581643188">
      <w:bodyDiv w:val="1"/>
      <w:marLeft w:val="0"/>
      <w:marRight w:val="0"/>
      <w:marTop w:val="0"/>
      <w:marBottom w:val="0"/>
      <w:divBdr>
        <w:top w:val="none" w:sz="0" w:space="0" w:color="auto"/>
        <w:left w:val="none" w:sz="0" w:space="0" w:color="auto"/>
        <w:bottom w:val="none" w:sz="0" w:space="0" w:color="auto"/>
        <w:right w:val="none" w:sz="0" w:space="0" w:color="auto"/>
      </w:divBdr>
    </w:div>
    <w:div w:id="746079178">
      <w:bodyDiv w:val="1"/>
      <w:marLeft w:val="0"/>
      <w:marRight w:val="0"/>
      <w:marTop w:val="0"/>
      <w:marBottom w:val="0"/>
      <w:divBdr>
        <w:top w:val="none" w:sz="0" w:space="0" w:color="auto"/>
        <w:left w:val="none" w:sz="0" w:space="0" w:color="auto"/>
        <w:bottom w:val="none" w:sz="0" w:space="0" w:color="auto"/>
        <w:right w:val="none" w:sz="0" w:space="0" w:color="auto"/>
      </w:divBdr>
    </w:div>
    <w:div w:id="815490581">
      <w:bodyDiv w:val="1"/>
      <w:marLeft w:val="0"/>
      <w:marRight w:val="0"/>
      <w:marTop w:val="0"/>
      <w:marBottom w:val="0"/>
      <w:divBdr>
        <w:top w:val="none" w:sz="0" w:space="0" w:color="auto"/>
        <w:left w:val="none" w:sz="0" w:space="0" w:color="auto"/>
        <w:bottom w:val="none" w:sz="0" w:space="0" w:color="auto"/>
        <w:right w:val="none" w:sz="0" w:space="0" w:color="auto"/>
      </w:divBdr>
      <w:divsChild>
        <w:div w:id="1367683527">
          <w:marLeft w:val="0"/>
          <w:marRight w:val="0"/>
          <w:marTop w:val="0"/>
          <w:marBottom w:val="0"/>
          <w:divBdr>
            <w:top w:val="none" w:sz="0" w:space="0" w:color="auto"/>
            <w:left w:val="none" w:sz="0" w:space="0" w:color="auto"/>
            <w:bottom w:val="none" w:sz="0" w:space="0" w:color="auto"/>
            <w:right w:val="none" w:sz="0" w:space="0" w:color="auto"/>
          </w:divBdr>
          <w:divsChild>
            <w:div w:id="1047724554">
              <w:marLeft w:val="0"/>
              <w:marRight w:val="0"/>
              <w:marTop w:val="0"/>
              <w:marBottom w:val="0"/>
              <w:divBdr>
                <w:top w:val="none" w:sz="0" w:space="0" w:color="auto"/>
                <w:left w:val="none" w:sz="0" w:space="0" w:color="auto"/>
                <w:bottom w:val="none" w:sz="0" w:space="0" w:color="auto"/>
                <w:right w:val="none" w:sz="0" w:space="0" w:color="auto"/>
              </w:divBdr>
              <w:divsChild>
                <w:div w:id="2017729413">
                  <w:marLeft w:val="0"/>
                  <w:marRight w:val="0"/>
                  <w:marTop w:val="0"/>
                  <w:marBottom w:val="0"/>
                  <w:divBdr>
                    <w:top w:val="none" w:sz="0" w:space="0" w:color="auto"/>
                    <w:left w:val="none" w:sz="0" w:space="0" w:color="auto"/>
                    <w:bottom w:val="none" w:sz="0" w:space="0" w:color="auto"/>
                    <w:right w:val="none" w:sz="0" w:space="0" w:color="auto"/>
                  </w:divBdr>
                  <w:divsChild>
                    <w:div w:id="1457867654">
                      <w:marLeft w:val="0"/>
                      <w:marRight w:val="0"/>
                      <w:marTop w:val="0"/>
                      <w:marBottom w:val="0"/>
                      <w:divBdr>
                        <w:top w:val="none" w:sz="0" w:space="0" w:color="auto"/>
                        <w:left w:val="none" w:sz="0" w:space="0" w:color="auto"/>
                        <w:bottom w:val="none" w:sz="0" w:space="0" w:color="auto"/>
                        <w:right w:val="none" w:sz="0" w:space="0" w:color="auto"/>
                      </w:divBdr>
                      <w:divsChild>
                        <w:div w:id="648050869">
                          <w:marLeft w:val="0"/>
                          <w:marRight w:val="0"/>
                          <w:marTop w:val="0"/>
                          <w:marBottom w:val="0"/>
                          <w:divBdr>
                            <w:top w:val="none" w:sz="0" w:space="0" w:color="auto"/>
                            <w:left w:val="none" w:sz="0" w:space="0" w:color="auto"/>
                            <w:bottom w:val="none" w:sz="0" w:space="0" w:color="auto"/>
                            <w:right w:val="none" w:sz="0" w:space="0" w:color="auto"/>
                          </w:divBdr>
                          <w:divsChild>
                            <w:div w:id="1305427650">
                              <w:marLeft w:val="0"/>
                              <w:marRight w:val="0"/>
                              <w:marTop w:val="0"/>
                              <w:marBottom w:val="0"/>
                              <w:divBdr>
                                <w:top w:val="none" w:sz="0" w:space="0" w:color="auto"/>
                                <w:left w:val="none" w:sz="0" w:space="0" w:color="auto"/>
                                <w:bottom w:val="none" w:sz="0" w:space="0" w:color="auto"/>
                                <w:right w:val="none" w:sz="0" w:space="0" w:color="auto"/>
                              </w:divBdr>
                              <w:divsChild>
                                <w:div w:id="1023825781">
                                  <w:marLeft w:val="0"/>
                                  <w:marRight w:val="0"/>
                                  <w:marTop w:val="180"/>
                                  <w:marBottom w:val="0"/>
                                  <w:divBdr>
                                    <w:top w:val="none" w:sz="0" w:space="0" w:color="auto"/>
                                    <w:left w:val="none" w:sz="0" w:space="0" w:color="auto"/>
                                    <w:bottom w:val="none" w:sz="0" w:space="0" w:color="auto"/>
                                    <w:right w:val="none" w:sz="0" w:space="0" w:color="auto"/>
                                  </w:divBdr>
                                  <w:divsChild>
                                    <w:div w:id="1799764477">
                                      <w:marLeft w:val="0"/>
                                      <w:marRight w:val="0"/>
                                      <w:marTop w:val="0"/>
                                      <w:marBottom w:val="0"/>
                                      <w:divBdr>
                                        <w:top w:val="none" w:sz="0" w:space="0" w:color="auto"/>
                                        <w:left w:val="none" w:sz="0" w:space="0" w:color="auto"/>
                                        <w:bottom w:val="none" w:sz="0" w:space="0" w:color="auto"/>
                                        <w:right w:val="none" w:sz="0" w:space="0" w:color="auto"/>
                                      </w:divBdr>
                                      <w:divsChild>
                                        <w:div w:id="835532610">
                                          <w:marLeft w:val="0"/>
                                          <w:marRight w:val="0"/>
                                          <w:marTop w:val="0"/>
                                          <w:marBottom w:val="0"/>
                                          <w:divBdr>
                                            <w:top w:val="none" w:sz="0" w:space="0" w:color="auto"/>
                                            <w:left w:val="none" w:sz="0" w:space="0" w:color="auto"/>
                                            <w:bottom w:val="none" w:sz="0" w:space="0" w:color="auto"/>
                                            <w:right w:val="none" w:sz="0" w:space="0" w:color="auto"/>
                                          </w:divBdr>
                                          <w:divsChild>
                                            <w:div w:id="304818967">
                                              <w:marLeft w:val="60"/>
                                              <w:marRight w:val="0"/>
                                              <w:marTop w:val="0"/>
                                              <w:marBottom w:val="0"/>
                                              <w:divBdr>
                                                <w:top w:val="none" w:sz="0" w:space="0" w:color="auto"/>
                                                <w:left w:val="none" w:sz="0" w:space="0" w:color="auto"/>
                                                <w:bottom w:val="none" w:sz="0" w:space="0" w:color="auto"/>
                                                <w:right w:val="none" w:sz="0" w:space="0" w:color="auto"/>
                                              </w:divBdr>
                                              <w:divsChild>
                                                <w:div w:id="1707026151">
                                                  <w:marLeft w:val="0"/>
                                                  <w:marRight w:val="0"/>
                                                  <w:marTop w:val="0"/>
                                                  <w:marBottom w:val="240"/>
                                                  <w:divBdr>
                                                    <w:top w:val="none" w:sz="0" w:space="0" w:color="auto"/>
                                                    <w:left w:val="none" w:sz="0" w:space="0" w:color="auto"/>
                                                    <w:bottom w:val="none" w:sz="0" w:space="0" w:color="auto"/>
                                                    <w:right w:val="none" w:sz="0" w:space="0" w:color="auto"/>
                                                  </w:divBdr>
                                                  <w:divsChild>
                                                    <w:div w:id="1541816457">
                                                      <w:marLeft w:val="0"/>
                                                      <w:marRight w:val="0"/>
                                                      <w:marTop w:val="0"/>
                                                      <w:marBottom w:val="0"/>
                                                      <w:divBdr>
                                                        <w:top w:val="none" w:sz="0" w:space="0" w:color="auto"/>
                                                        <w:left w:val="none" w:sz="0" w:space="0" w:color="auto"/>
                                                        <w:bottom w:val="none" w:sz="0" w:space="0" w:color="auto"/>
                                                        <w:right w:val="none" w:sz="0" w:space="0" w:color="auto"/>
                                                      </w:divBdr>
                                                      <w:divsChild>
                                                        <w:div w:id="1058822608">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3985129">
      <w:bodyDiv w:val="1"/>
      <w:marLeft w:val="0"/>
      <w:marRight w:val="0"/>
      <w:marTop w:val="0"/>
      <w:marBottom w:val="0"/>
      <w:divBdr>
        <w:top w:val="none" w:sz="0" w:space="0" w:color="auto"/>
        <w:left w:val="none" w:sz="0" w:space="0" w:color="auto"/>
        <w:bottom w:val="none" w:sz="0" w:space="0" w:color="auto"/>
        <w:right w:val="none" w:sz="0" w:space="0" w:color="auto"/>
      </w:divBdr>
    </w:div>
    <w:div w:id="998657638">
      <w:bodyDiv w:val="1"/>
      <w:marLeft w:val="0"/>
      <w:marRight w:val="0"/>
      <w:marTop w:val="0"/>
      <w:marBottom w:val="0"/>
      <w:divBdr>
        <w:top w:val="none" w:sz="0" w:space="0" w:color="auto"/>
        <w:left w:val="none" w:sz="0" w:space="0" w:color="auto"/>
        <w:bottom w:val="none" w:sz="0" w:space="0" w:color="auto"/>
        <w:right w:val="none" w:sz="0" w:space="0" w:color="auto"/>
      </w:divBdr>
    </w:div>
    <w:div w:id="1257321710">
      <w:bodyDiv w:val="1"/>
      <w:marLeft w:val="0"/>
      <w:marRight w:val="0"/>
      <w:marTop w:val="0"/>
      <w:marBottom w:val="0"/>
      <w:divBdr>
        <w:top w:val="none" w:sz="0" w:space="0" w:color="auto"/>
        <w:left w:val="none" w:sz="0" w:space="0" w:color="auto"/>
        <w:bottom w:val="none" w:sz="0" w:space="0" w:color="auto"/>
        <w:right w:val="none" w:sz="0" w:space="0" w:color="auto"/>
      </w:divBdr>
    </w:div>
    <w:div w:id="1288394863">
      <w:bodyDiv w:val="1"/>
      <w:marLeft w:val="0"/>
      <w:marRight w:val="0"/>
      <w:marTop w:val="0"/>
      <w:marBottom w:val="0"/>
      <w:divBdr>
        <w:top w:val="none" w:sz="0" w:space="0" w:color="auto"/>
        <w:left w:val="none" w:sz="0" w:space="0" w:color="auto"/>
        <w:bottom w:val="none" w:sz="0" w:space="0" w:color="auto"/>
        <w:right w:val="none" w:sz="0" w:space="0" w:color="auto"/>
      </w:divBdr>
    </w:div>
    <w:div w:id="1412384303">
      <w:bodyDiv w:val="1"/>
      <w:marLeft w:val="0"/>
      <w:marRight w:val="0"/>
      <w:marTop w:val="0"/>
      <w:marBottom w:val="0"/>
      <w:divBdr>
        <w:top w:val="none" w:sz="0" w:space="0" w:color="auto"/>
        <w:left w:val="none" w:sz="0" w:space="0" w:color="auto"/>
        <w:bottom w:val="none" w:sz="0" w:space="0" w:color="auto"/>
        <w:right w:val="none" w:sz="0" w:space="0" w:color="auto"/>
      </w:divBdr>
    </w:div>
    <w:div w:id="1628929850">
      <w:bodyDiv w:val="1"/>
      <w:marLeft w:val="0"/>
      <w:marRight w:val="0"/>
      <w:marTop w:val="0"/>
      <w:marBottom w:val="0"/>
      <w:divBdr>
        <w:top w:val="none" w:sz="0" w:space="0" w:color="auto"/>
        <w:left w:val="none" w:sz="0" w:space="0" w:color="auto"/>
        <w:bottom w:val="none" w:sz="0" w:space="0" w:color="auto"/>
        <w:right w:val="none" w:sz="0" w:space="0" w:color="auto"/>
      </w:divBdr>
    </w:div>
    <w:div w:id="1638140752">
      <w:bodyDiv w:val="1"/>
      <w:marLeft w:val="0"/>
      <w:marRight w:val="0"/>
      <w:marTop w:val="0"/>
      <w:marBottom w:val="0"/>
      <w:divBdr>
        <w:top w:val="none" w:sz="0" w:space="0" w:color="auto"/>
        <w:left w:val="none" w:sz="0" w:space="0" w:color="auto"/>
        <w:bottom w:val="none" w:sz="0" w:space="0" w:color="auto"/>
        <w:right w:val="none" w:sz="0" w:space="0" w:color="auto"/>
      </w:divBdr>
    </w:div>
    <w:div w:id="1676692752">
      <w:bodyDiv w:val="1"/>
      <w:marLeft w:val="0"/>
      <w:marRight w:val="0"/>
      <w:marTop w:val="0"/>
      <w:marBottom w:val="0"/>
      <w:divBdr>
        <w:top w:val="none" w:sz="0" w:space="0" w:color="auto"/>
        <w:left w:val="none" w:sz="0" w:space="0" w:color="auto"/>
        <w:bottom w:val="none" w:sz="0" w:space="0" w:color="auto"/>
        <w:right w:val="none" w:sz="0" w:space="0" w:color="auto"/>
      </w:divBdr>
    </w:div>
    <w:div w:id="1931960686">
      <w:bodyDiv w:val="1"/>
      <w:marLeft w:val="0"/>
      <w:marRight w:val="0"/>
      <w:marTop w:val="0"/>
      <w:marBottom w:val="0"/>
      <w:divBdr>
        <w:top w:val="none" w:sz="0" w:space="0" w:color="auto"/>
        <w:left w:val="none" w:sz="0" w:space="0" w:color="auto"/>
        <w:bottom w:val="none" w:sz="0" w:space="0" w:color="auto"/>
        <w:right w:val="none" w:sz="0" w:space="0" w:color="auto"/>
      </w:divBdr>
    </w:div>
    <w:div w:id="1945068188">
      <w:bodyDiv w:val="1"/>
      <w:marLeft w:val="0"/>
      <w:marRight w:val="0"/>
      <w:marTop w:val="0"/>
      <w:marBottom w:val="0"/>
      <w:divBdr>
        <w:top w:val="none" w:sz="0" w:space="0" w:color="auto"/>
        <w:left w:val="none" w:sz="0" w:space="0" w:color="auto"/>
        <w:bottom w:val="none" w:sz="0" w:space="0" w:color="auto"/>
        <w:right w:val="none" w:sz="0" w:space="0" w:color="auto"/>
      </w:divBdr>
    </w:div>
    <w:div w:id="2000308530">
      <w:bodyDiv w:val="1"/>
      <w:marLeft w:val="0"/>
      <w:marRight w:val="0"/>
      <w:marTop w:val="0"/>
      <w:marBottom w:val="0"/>
      <w:divBdr>
        <w:top w:val="none" w:sz="0" w:space="0" w:color="auto"/>
        <w:left w:val="none" w:sz="0" w:space="0" w:color="auto"/>
        <w:bottom w:val="none" w:sz="0" w:space="0" w:color="auto"/>
        <w:right w:val="none" w:sz="0" w:space="0" w:color="auto"/>
      </w:divBdr>
    </w:div>
    <w:div w:id="2057584638">
      <w:bodyDiv w:val="1"/>
      <w:marLeft w:val="0"/>
      <w:marRight w:val="0"/>
      <w:marTop w:val="0"/>
      <w:marBottom w:val="0"/>
      <w:divBdr>
        <w:top w:val="none" w:sz="0" w:space="0" w:color="auto"/>
        <w:left w:val="none" w:sz="0" w:space="0" w:color="auto"/>
        <w:bottom w:val="none" w:sz="0" w:space="0" w:color="auto"/>
        <w:right w:val="none" w:sz="0" w:space="0" w:color="auto"/>
      </w:divBdr>
    </w:div>
    <w:div w:id="207893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6EC3D79A11474E8ACD50EBCD0748F2" ma:contentTypeVersion="4" ma:contentTypeDescription="Create a new document." ma:contentTypeScope="" ma:versionID="f7532ffb85c0ac87de2454fdd0d71558">
  <xsd:schema xmlns:xsd="http://www.w3.org/2001/XMLSchema" xmlns:xs="http://www.w3.org/2001/XMLSchema" xmlns:p="http://schemas.microsoft.com/office/2006/metadata/properties" xmlns:ns2="234c580d-7218-4db9-a48c-bb8c7cbc2e71" xmlns:ns3="00fcc51c-35c5-4a2a-9261-359eec4c179b" targetNamespace="http://schemas.microsoft.com/office/2006/metadata/properties" ma:root="true" ma:fieldsID="b18758808c54575161140397ea6c9c5d" ns2:_="" ns3:_="">
    <xsd:import namespace="234c580d-7218-4db9-a48c-bb8c7cbc2e71"/>
    <xsd:import namespace="00fcc51c-35c5-4a2a-9261-359eec4c179b"/>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c580d-7218-4db9-a48c-bb8c7cbc2e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c51c-35c5-4a2a-9261-359eec4c179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0fcc51c-35c5-4a2a-9261-359eec4c179b">NPSPOT-40-617</_dlc_DocId>
    <_dlc_DocIdUrl xmlns="00fcc51c-35c5-4a2a-9261-359eec4c179b">
      <Url>https://npspotas.sharepoint.com/BusinessDevelopment/_layouts/15/DocIdRedir.aspx?ID=NPSPOT-40-617</Url>
      <Description>NPSPOT-40-617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853A-3487-4A88-A805-E7A06A585DDD}">
  <ds:schemaRefs>
    <ds:schemaRef ds:uri="http://schemas.openxmlformats.org/officeDocument/2006/bibliography"/>
  </ds:schemaRefs>
</ds:datastoreItem>
</file>

<file path=customXml/itemProps2.xml><?xml version="1.0" encoding="utf-8"?>
<ds:datastoreItem xmlns:ds="http://schemas.openxmlformats.org/officeDocument/2006/customXml" ds:itemID="{9EE1BD14-A6AE-4061-AAFF-AF89B5B12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c580d-7218-4db9-a48c-bb8c7cbc2e71"/>
    <ds:schemaRef ds:uri="00fcc51c-35c5-4a2a-9261-359eec4c1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BECDA-E11F-41F7-A03D-CF956F01DEEC}">
  <ds:schemaRefs>
    <ds:schemaRef ds:uri="http://schemas.microsoft.com/sharepoint/events"/>
  </ds:schemaRefs>
</ds:datastoreItem>
</file>

<file path=customXml/itemProps4.xml><?xml version="1.0" encoding="utf-8"?>
<ds:datastoreItem xmlns:ds="http://schemas.openxmlformats.org/officeDocument/2006/customXml" ds:itemID="{11089BC4-DC17-4DE7-91A1-31ECB3CDFB14}">
  <ds:schemaRefs>
    <ds:schemaRef ds:uri="http://schemas.microsoft.com/sharepoint/v3/contenttype/forms"/>
  </ds:schemaRefs>
</ds:datastoreItem>
</file>

<file path=customXml/itemProps5.xml><?xml version="1.0" encoding="utf-8"?>
<ds:datastoreItem xmlns:ds="http://schemas.openxmlformats.org/officeDocument/2006/customXml" ds:itemID="{8BE2398E-6728-4DEF-8CE1-3A3538FF9F14}">
  <ds:schemaRefs>
    <ds:schemaRef ds:uri="http://schemas.microsoft.com/office/2006/metadata/properties"/>
    <ds:schemaRef ds:uri="http://schemas.microsoft.com/office/infopath/2007/PartnerControls"/>
    <ds:schemaRef ds:uri="00fcc51c-35c5-4a2a-9261-359eec4c179b"/>
  </ds:schemaRefs>
</ds:datastoreItem>
</file>

<file path=customXml/itemProps6.xml><?xml version="1.0" encoding="utf-8"?>
<ds:datastoreItem xmlns:ds="http://schemas.openxmlformats.org/officeDocument/2006/customXml" ds:itemID="{B87AC143-A4F6-4A85-9ABF-4839B700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18065</Words>
  <Characters>102975</Characters>
  <Application>Microsoft Office Word</Application>
  <DocSecurity>0</DocSecurity>
  <Lines>858</Lines>
  <Paragraphs>241</Paragraphs>
  <ScaleCrop>false</ScaleCrop>
  <HeadingPairs>
    <vt:vector size="18" baseType="variant">
      <vt:variant>
        <vt:lpstr>Nosaukums</vt:lpstr>
      </vt:variant>
      <vt:variant>
        <vt:i4>1</vt:i4>
      </vt:variant>
      <vt:variant>
        <vt:lpstr>Title</vt:lpstr>
      </vt:variant>
      <vt:variant>
        <vt:i4>1</vt:i4>
      </vt:variant>
      <vt:variant>
        <vt:lpstr>Cím</vt:lpstr>
      </vt:variant>
      <vt:variant>
        <vt:i4>1</vt:i4>
      </vt:variant>
      <vt:variant>
        <vt:lpstr>Titre</vt:lpstr>
      </vt:variant>
      <vt:variant>
        <vt:i4>1</vt:i4>
      </vt:variant>
      <vt:variant>
        <vt:lpstr>Titel</vt:lpstr>
      </vt:variant>
      <vt:variant>
        <vt:i4>1</vt:i4>
      </vt:variant>
      <vt:variant>
        <vt:lpstr>Título</vt:lpstr>
      </vt:variant>
      <vt:variant>
        <vt:i4>1</vt:i4>
      </vt:variant>
      <vt:variant>
        <vt:lpstr>Název</vt:lpstr>
      </vt:variant>
      <vt:variant>
        <vt:i4>1</vt:i4>
      </vt:variant>
      <vt:variant>
        <vt:lpstr>Titolo</vt:lpstr>
      </vt:variant>
      <vt:variant>
        <vt:i4>1</vt:i4>
      </vt:variant>
      <vt:variant>
        <vt:lpstr>Názov</vt:lpstr>
      </vt:variant>
      <vt:variant>
        <vt:i4>1</vt:i4>
      </vt:variant>
    </vt:vector>
  </HeadingPairs>
  <TitlesOfParts>
    <vt:vector size="9" baseType="lpstr">
      <vt:lpstr/>
      <vt:lpstr/>
      <vt:lpstr/>
      <vt:lpstr/>
      <vt:lpstr/>
      <vt:lpstr/>
      <vt:lpstr/>
      <vt:lpstr/>
      <vt:lpstr/>
    </vt:vector>
  </TitlesOfParts>
  <Company>OTE a.s.</Company>
  <LinksUpToDate>false</LinksUpToDate>
  <CharactersWithSpaces>120799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Okreglicka-M</dc:creator>
  <cp:lastModifiedBy>Kārlis Gičevskis</cp:lastModifiedBy>
  <cp:revision>2</cp:revision>
  <cp:lastPrinted>2016-12-13T20:04:00Z</cp:lastPrinted>
  <dcterms:created xsi:type="dcterms:W3CDTF">2018-02-16T11:57:00Z</dcterms:created>
  <dcterms:modified xsi:type="dcterms:W3CDTF">2018-02-16T11:57:00Z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0x010100916EC3D79A11474E8ACD50EBCD0748F2</vt:lpwstr>
  </property>
  <property fmtid="{D5CDD505-2E9C-101B-9397-08002B2CF9AE}" pid="3" name="_dlc_DocIdItemGuid">
    <vt:lpwstr>177dbe65-96db-4858-98df-319fac29fb34</vt:lpwstr>
  </property>
</Properties>
</file>