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space="preserve">
  <w:body>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40" w:lineRule="exact" w:before="18"/>
        <w:rPr>
          <w:sz w:val="24"/>
          <w:szCs w:val="24"/>
        </w:rPr>
      </w:pPr>
    </w:p>
    <w:p>
      <w:pPr>
        <w:spacing w:line="276" w:lineRule="auto" w:before="27"/>
        <w:ind w:left="166" w:right="163" w:hanging="3"/>
        <w:jc w:val="center"/>
        <w:rPr>
          <w:rFonts w:ascii="Calibri" w:hAnsi="Calibri" w:cs="Calibri" w:eastAsia="Calibri"/>
          <w:sz w:val="36"/>
          <w:szCs w:val="36"/>
        </w:rPr>
      </w:pPr>
      <w:r>
        <w:rPr>
          <w:rFonts w:ascii="Calibri" w:hAnsi="Calibri"/>
          <w:b/>
          <w:sz w:val="36"/>
        </w:rPr>
        <w:t>Visu NETO produktu priekšlikums, ko NETO var ņemt vērā diennakts sasaistes procesā saskaņā ar Komisijas 2015. gada 24. jūlija Regulas (ES) Nr. 2015/1222 53. pantu, kas nosaka pamatnostādni saistībā ar jaudas piešķiršanu un pārslodzes pārvaldību</w:t>
      </w:r>
    </w:p>
    <w:p>
      <w:pPr>
        <w:pStyle w:val="Heading1"/>
        <w:spacing w:line="240" w:lineRule="auto" w:before="201"/>
        <w:ind w:right="0"/>
        <w:jc w:val="center"/>
        <w:rPr>
          <w:b w:val="0"/>
          <w:bCs w:val="0"/>
        </w:rPr>
      </w:pPr>
      <w:r>
        <w:t>2017. gada 14. februārī</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after="0" w:line="240" w:lineRule="auto"/>
        <w:jc w:val="center"/>
        <w:sectPr>
          <w:type w:val="continuous"/>
          <w:pgSz w:w="11910" w:h="16840"/>
          <w:pgMar w:top="1580" w:bottom="280" w:left="1680" w:right="1680"/>
        </w:sectPr>
      </w:pPr>
    </w:p>
    <w:p>
      <w:pPr>
        <w:pStyle w:val="BodyText"/>
        <w:spacing w:line="240" w:lineRule="auto" w:before="40"/>
        <w:ind w:left="118" w:right="0" w:firstLine="0"/>
        <w:jc w:val="left"/>
      </w:pPr>
      <w:r>
        <w:t>Visi NETO, ievērojot turpmāk norādīto.</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180" w:lineRule="exact" w:before="5"/>
        <w:rPr>
          <w:sz w:val="18"/>
          <w:szCs w:val="18"/>
        </w:rPr>
      </w:pPr>
    </w:p>
    <w:p>
      <w:pPr>
        <w:spacing w:before="51"/>
        <w:ind w:left="2871" w:right="2868" w:firstLine="0"/>
        <w:jc w:val="center"/>
        <w:rPr>
          <w:rFonts w:ascii="Calibri" w:hAnsi="Calibri" w:cs="Calibri" w:eastAsia="Calibri"/>
          <w:sz w:val="24"/>
          <w:szCs w:val="24"/>
        </w:rPr>
      </w:pPr>
      <w:r>
        <w:rPr>
          <w:rFonts w:ascii="Calibri"/>
          <w:b/>
          <w:sz w:val="24"/>
        </w:rPr>
        <w:t>Tā kā</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180" w:lineRule="exact" w:before="8"/>
        <w:rPr>
          <w:sz w:val="18"/>
          <w:szCs w:val="18"/>
        </w:rPr>
      </w:pPr>
    </w:p>
    <w:p>
      <w:pPr>
        <w:pStyle w:val="Heading2"/>
        <w:spacing w:line="240" w:lineRule="auto" w:before="59"/>
        <w:ind w:right="0"/>
        <w:jc w:val="left"/>
        <w:rPr>
          <w:b w:val="0"/>
          <w:bCs w:val="0"/>
          <w:i w:val="0"/>
        </w:rPr>
      </w:pPr>
      <w:r>
        <w:rPr>
          <w:i/>
        </w:rPr>
        <w:t>Pamatinformācija</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20" w:lineRule="exact" w:before="13"/>
        <w:rPr>
          <w:sz w:val="22"/>
          <w:szCs w:val="22"/>
        </w:rPr>
      </w:pPr>
    </w:p>
    <w:p>
      <w:pPr>
        <w:pStyle w:val="BodyText"/>
        <w:numPr>
          <w:ilvl w:val="0"/>
          <w:numId w:val="1"/>
        </w:numPr>
        <w:tabs>
          <w:tab w:pos="910" w:val="left" w:leader="none"/>
        </w:tabs>
        <w:spacing w:line="276" w:lineRule="auto" w:before="0" w:after="0"/>
        <w:ind w:left="910" w:right="113" w:hanging="432"/>
        <w:jc w:val="both"/>
        <w:rPr>
          <w:rFonts w:ascii="Calibri" w:hAnsi="Calibri" w:cs="Calibri" w:eastAsia="Calibri"/>
        </w:rPr>
      </w:pPr>
      <w:r>
        <w:t xml:space="preserve">Šis dokuments ir kopīgs priekšlikums, ko visi nominētie elektrības tirgus </w:t>
      </w:r>
      <w:r>
        <w:rPr>
          <w:rFonts w:ascii="Calibri" w:hAnsi="Calibri"/>
        </w:rPr>
        <w:t>operatori (turpmāk — „NETO) izstrādājuši produktiem un ko var ņemt vērā diennakts sasaistē (turpmāk — „</w:t>
      </w:r>
      <w:r>
        <w:t>D produktu priekšlikums</w:t>
      </w:r>
      <w:r>
        <w:rPr>
          <w:rFonts w:ascii="Calibri" w:hAnsi="Calibri"/>
        </w:rPr>
        <w:t xml:space="preserve">”) </w:t>
      </w:r>
      <w:r>
        <w:t xml:space="preserve">saskaņā ar Komisijas 2015. gada 24. jūlija Regulas (ES) Nr. 2015/1222 53. pantu, kas nosaka pamatnostādni saistībā ar jaudas piešķiršanu un pārslodzes pārvaldību (turpmāk — </w:t>
      </w:r>
      <w:r>
        <w:rPr>
          <w:rFonts w:ascii="Calibri" w:hAnsi="Calibri"/>
        </w:rPr>
        <w:t>„JPPP regula”).</w:t>
      </w:r>
    </w:p>
    <w:p>
      <w:pPr>
        <w:numPr>
          <w:ilvl w:val="0"/>
          <w:numId w:val="1"/>
        </w:numPr>
        <w:tabs>
          <w:tab w:pos="910" w:val="left" w:leader="none"/>
        </w:tabs>
        <w:spacing w:line="276" w:lineRule="auto" w:before="0"/>
        <w:ind w:left="910" w:right="115" w:hanging="432"/>
        <w:jc w:val="both"/>
        <w:rPr>
          <w:rFonts w:ascii="Calibri" w:hAnsi="Calibri" w:cs="Calibri" w:eastAsia="Calibri"/>
          <w:sz w:val="20"/>
          <w:szCs w:val="20"/>
        </w:rPr>
      </w:pPr>
      <w:r>
        <w:rPr>
          <w:rFonts w:ascii="Calibri" w:hAnsi="Calibri"/>
          <w:sz w:val="20"/>
        </w:rPr>
        <w:t>Saskaņā ar JPPP regulas 54. pantu „</w:t>
      </w:r>
      <w:r>
        <w:rPr>
          <w:rFonts w:ascii="Calibri" w:hAnsi="Calibri"/>
          <w:i/>
          <w:sz w:val="20"/>
        </w:rPr>
        <w:t xml:space="preserve">NETO ne vēlāk kā 18 mēnešus pēc šīs regulas stāšanās spēkā iesniedz kopīgu priekšlikumu par produktiem, ko var ņemt vērā diennakts sasaistē. </w:t>
      </w:r>
      <w:r>
        <w:rPr>
          <w:rFonts w:ascii="Calibri" w:hAnsi="Calibri"/>
          <w:i/>
          <w:sz w:val="20"/>
        </w:rPr>
        <w:t xml:space="preserve">NETO garantē, ka visi no šiem produktiem izrietošie pasūtījumi ļauj izpildīt TSO funkcijas saskaņā ar 7. pantu, ir izteikti eiro, kā arī atsaucas uz tirgus laiku un tirgus laika vienību. </w:t>
      </w:r>
      <w:r>
        <w:rPr>
          <w:rFonts w:ascii="Calibri" w:hAnsi="Calibri"/>
          <w:i/>
          <w:sz w:val="20"/>
        </w:rPr>
        <w:t xml:space="preserve">Visi NETO garantē, ka no šiem produktiem izrietošie pasūtījumi ir saderīgi ar starpzonu jaudas raksturlielumiem, ļaujot tos vienlaicīgi salīdzināt. </w:t>
      </w:r>
      <w:r>
        <w:rPr>
          <w:rFonts w:ascii="Calibri" w:hAnsi="Calibri"/>
          <w:i/>
          <w:sz w:val="20"/>
        </w:rPr>
        <w:t>Visi NETO garantē, ka pastāvīgās tirdzniecības saskaņošanas algoritms spēj izpildīt visus pasūtījumus, ietverot vienu tirgus laika vienību un vairākas tirgus laika vienības.</w:t>
      </w:r>
      <w:r>
        <w:rPr>
          <w:rFonts w:ascii="Calibri" w:hAnsi="Calibri"/>
          <w:sz w:val="20"/>
        </w:rPr>
        <w:t>”</w:t>
      </w:r>
    </w:p>
    <w:p>
      <w:pPr>
        <w:numPr>
          <w:ilvl w:val="0"/>
          <w:numId w:val="1"/>
        </w:numPr>
        <w:tabs>
          <w:tab w:pos="910" w:val="left" w:leader="none"/>
        </w:tabs>
        <w:spacing w:line="276" w:lineRule="auto" w:before="0"/>
        <w:ind w:left="910" w:right="112" w:hanging="432"/>
        <w:jc w:val="both"/>
        <w:rPr>
          <w:rFonts w:ascii="Calibri" w:hAnsi="Calibri" w:cs="Calibri" w:eastAsia="Calibri"/>
          <w:sz w:val="20"/>
          <w:szCs w:val="20"/>
        </w:rPr>
      </w:pPr>
      <w:r>
        <w:rPr>
          <w:rFonts w:ascii="Calibri" w:hAnsi="Calibri"/>
          <w:sz w:val="20"/>
        </w:rPr>
        <w:t xml:space="preserve">Saskaņā ar JPPP regulas 53. panta 4. punktu </w:t>
      </w:r>
      <w:r>
        <w:rPr>
          <w:rFonts w:ascii="Calibri" w:hAnsi="Calibri"/>
          <w:i/>
          <w:sz w:val="20"/>
        </w:rPr>
        <w:t xml:space="preserve">„Ne vēlāk kā divus gadus pēc šīs regulas stāšanās spēkā un turpmāk katru otro gadu visi NETO saskaņā ar 12. pantu konsultē: </w:t>
      </w:r>
      <w:r>
        <w:rPr>
          <w:rFonts w:ascii="Calibri" w:hAnsi="Calibri"/>
          <w:i/>
          <w:sz w:val="20"/>
        </w:rPr>
        <w:t xml:space="preserve">(a) tirgus dalībniekus, lai garantētu, ka pieejamie produkti atspoguļo to vajadzības; (b) visus PSO, lai garantētu, ka pieejamie produkti ievēro darbības drošību; (c) visas pārvaldes iestādes, lai garantētu, ka pieejamie produkti atbilst šīs regulas mērķiem.” </w:t>
      </w:r>
      <w:r>
        <w:rPr>
          <w:rFonts w:ascii="Calibri" w:hAnsi="Calibri"/>
          <w:sz w:val="20"/>
        </w:rPr>
        <w:t>Visi NETO veic grozījumus produktos, ja tas nepieciešams saskaņā ar konsultācijas rezultātiem.</w:t>
      </w:r>
    </w:p>
    <w:p>
      <w:pPr>
        <w:pStyle w:val="BodyText"/>
        <w:numPr>
          <w:ilvl w:val="0"/>
          <w:numId w:val="1"/>
        </w:numPr>
        <w:tabs>
          <w:tab w:pos="910" w:val="left" w:leader="none"/>
        </w:tabs>
        <w:spacing w:line="276" w:lineRule="auto" w:before="0" w:after="0"/>
        <w:ind w:left="910" w:right="113" w:hanging="432"/>
        <w:jc w:val="both"/>
      </w:pPr>
      <w:r>
        <w:rPr>
          <w:rFonts w:ascii="Calibri" w:hAnsi="Calibri"/>
        </w:rPr>
        <w:t xml:space="preserve">Visu NETO produktu priekšlikumu </w:t>
      </w:r>
      <w:r>
        <w:t>iesniedz apstiprināšanai visām regulatīvajām iestādēm ne vēlāk kā 18 mēnešus pēc JPPP regulas stāšanās spēkā,</w:t>
      </w:r>
      <w:r>
        <w:rPr>
          <w:rFonts w:ascii="Calibri" w:hAnsi="Calibri"/>
        </w:rPr>
        <w:t xml:space="preserve"> </w:t>
      </w:r>
      <w:r>
        <w:t xml:space="preserve">t. i., 2017. gada 14. februāra. </w:t>
      </w:r>
      <w:r>
        <w:t xml:space="preserve">JPPP regulā NETO nav paredzēts pienākums konsultēt par Produktu priekšlikumu pirms tā iesniegšanas visām pārvaldes iestādēm. </w:t>
      </w:r>
      <w:r>
        <w:t>Tomēr NETO atzinīgi novērtē ieinteresēto personu atsauksmes par priekšlikumiem un ir izlēmuši sniegt konsultācijas.</w:t>
      </w:r>
    </w:p>
    <w:p>
      <w:pPr>
        <w:numPr>
          <w:ilvl w:val="0"/>
          <w:numId w:val="1"/>
        </w:numPr>
        <w:tabs>
          <w:tab w:pos="910" w:val="left" w:leader="none"/>
        </w:tabs>
        <w:spacing w:line="276" w:lineRule="auto" w:before="0"/>
        <w:ind w:left="910" w:right="114" w:hanging="432"/>
        <w:jc w:val="both"/>
        <w:rPr>
          <w:rFonts w:ascii="Calibri" w:hAnsi="Calibri" w:cs="Calibri" w:eastAsia="Calibri"/>
          <w:sz w:val="20"/>
          <w:szCs w:val="20"/>
        </w:rPr>
      </w:pPr>
      <w:r>
        <w:rPr>
          <w:rFonts w:ascii="Calibri" w:hAnsi="Calibri"/>
          <w:sz w:val="20"/>
        </w:rPr>
        <w:t xml:space="preserve">Saskaņā ar JPPP regulas deklaratīvo daļu (14) </w:t>
      </w:r>
      <w:r>
        <w:rPr>
          <w:rFonts w:ascii="Calibri" w:hAnsi="Calibri"/>
          <w:i/>
          <w:sz w:val="20"/>
        </w:rPr>
        <w:t xml:space="preserve">„Efektivitātes nolūkā un lai pēc iespējas drīzāk īstenotu nākamās dienas un diennakts sasaisti, nākamās dienas un diennakts sasaistē jāizmanto esošie tirgus operatori un, ja nepieciešams, jau īstenotie risinājumi, nekavējot jaunu operatoru konkurenci.” </w:t>
      </w:r>
      <w:r>
        <w:rPr>
          <w:rFonts w:ascii="Calibri" w:hAnsi="Calibri"/>
          <w:sz w:val="20"/>
        </w:rPr>
        <w:t>D produktu priekšlikumā ierosināto produktu pamatā ir pašreizējie sasaistes risinājumi, kas ir īstenoti vai tiek izstrādāti un ko atjaunina vai groza, kad tas ir nepieciešams.</w:t>
      </w:r>
    </w:p>
    <w:p>
      <w:pPr>
        <w:pStyle w:val="BodyText"/>
        <w:numPr>
          <w:ilvl w:val="0"/>
          <w:numId w:val="1"/>
        </w:numPr>
        <w:tabs>
          <w:tab w:pos="910" w:val="left" w:leader="none"/>
        </w:tabs>
        <w:spacing w:line="276" w:lineRule="auto" w:before="0" w:after="0"/>
        <w:ind w:left="910" w:right="116" w:hanging="432"/>
        <w:jc w:val="both"/>
      </w:pPr>
      <w:r>
        <w:t xml:space="preserve">NETO saskaņā ar TSO plānu, izmantojot visu NETO starpā noslēgtu NETO sadarbības līgumu, izveido NETO komiteju un pārvaldības pasākumus, kas atbilst JPPP regulai.    </w:t>
      </w:r>
      <w:r>
        <w:t xml:space="preserve">Kopīgos NETO lēmumus un pienākumus saistībā ar šo D produktu priekšlikumu pieņem un uzņemas ar NETO komitejas un saistīto pārvaldības pasākumu palīdzību. </w:t>
      </w:r>
      <w:r>
        <w:t>Tā kā, ieviešot jaunus vai pārveidotus produktus, var būt nepieciešams veikt grozījumus pastāvīgās tirdzniecības saskaņošanas algoritmā, uz visām izmaiņām attiecas izmaiņu vadības principi, ko nosaka algoritma metodoloģija.</w:t>
      </w:r>
    </w:p>
    <w:p>
      <w:pPr>
        <w:pStyle w:val="BodyText"/>
        <w:numPr>
          <w:ilvl w:val="0"/>
          <w:numId w:val="1"/>
        </w:numPr>
        <w:tabs>
          <w:tab w:pos="910" w:val="left" w:leader="none"/>
        </w:tabs>
        <w:spacing w:line="278" w:lineRule="auto" w:before="0" w:after="0"/>
        <w:ind w:left="910" w:right="121" w:hanging="432"/>
        <w:jc w:val="both"/>
      </w:pPr>
      <w:r>
        <w:t>NETO komitejas lēmumi šajā priekšlikumā attiecināmi uz visu NETO lēmumiem, kas tiek koordinēti ar NETO komitejas palīdzību.</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after="0" w:line="278" w:lineRule="auto"/>
        <w:jc w:val="both"/>
        <w:sectPr>
          <w:pgSz w:w="11910" w:h="16840"/>
          <w:pgMar w:top="1080" w:bottom="280" w:left="1680" w:right="1680"/>
        </w:sectPr>
      </w:pPr>
    </w:p>
    <w:p>
      <w:pPr>
        <w:pStyle w:val="Heading2"/>
        <w:spacing w:line="240" w:lineRule="auto" w:before="40"/>
        <w:ind w:right="0"/>
        <w:jc w:val="left"/>
        <w:rPr>
          <w:b w:val="0"/>
          <w:bCs w:val="0"/>
          <w:i w:val="0"/>
        </w:rPr>
      </w:pPr>
      <w:r>
        <w:rPr>
          <w:i/>
        </w:rPr>
        <w:t>Ietekme uz JPPP regulas mērķiem</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20" w:lineRule="exact" w:before="16"/>
        <w:rPr>
          <w:sz w:val="22"/>
          <w:szCs w:val="22"/>
        </w:rPr>
      </w:pPr>
    </w:p>
    <w:p>
      <w:pPr>
        <w:pStyle w:val="BodyText"/>
        <w:numPr>
          <w:ilvl w:val="0"/>
          <w:numId w:val="2"/>
        </w:numPr>
        <w:tabs>
          <w:tab w:pos="910" w:val="left" w:leader="none"/>
        </w:tabs>
        <w:spacing w:line="276" w:lineRule="auto" w:before="0" w:after="0"/>
        <w:ind w:left="910" w:right="121" w:hanging="432"/>
        <w:jc w:val="both"/>
      </w:pPr>
      <w:r>
        <w:t xml:space="preserve">Ierosinātajā </w:t>
      </w:r>
      <w:r>
        <w:rPr>
          <w:rFonts w:ascii="Arial"/>
        </w:rPr>
        <w:t xml:space="preserve">D </w:t>
      </w:r>
      <w:r>
        <w:t>produktu priekšlikumā ņemti vērā galvenie jaudas piešķiršanas un pārslodzes pārvaldības sadarbības mērķi, kas aprakstīti JPPP regulas 3. pantā.</w:t>
      </w:r>
    </w:p>
    <w:p>
      <w:pPr>
        <w:pStyle w:val="BodyText"/>
        <w:numPr>
          <w:ilvl w:val="0"/>
          <w:numId w:val="2"/>
        </w:numPr>
        <w:tabs>
          <w:tab w:pos="910" w:val="left" w:leader="none"/>
        </w:tabs>
        <w:spacing w:line="276" w:lineRule="auto" w:before="0" w:after="0"/>
        <w:ind w:left="910" w:right="112" w:hanging="432"/>
        <w:jc w:val="both"/>
      </w:pPr>
      <w:r>
        <w:t xml:space="preserve">Pieprasot, lai tiktu nodrošināta plaša produktu klāsta pieejamība, ko NETO spēj padarīt pieejamus tirgus dalībniekiem kā daļu no diennakts sasaistes (DS), D produktu priekšlikums veicina efektīvu konkurenci elektrības ražošanā, tirdzniecībā un piegādē. </w:t>
      </w:r>
      <w:r>
        <w:t>Lai garantētu, ka D produktu priekšlikums turpina veicināt efektīvu konkurenci, NETO konsultē tirgus dalībniekus vismaz reizi divos gados, lai nodrošinātu pieejamo produktu atbilstību to vajadzībām.</w:t>
      </w:r>
    </w:p>
    <w:p>
      <w:pPr>
        <w:pStyle w:val="BodyText"/>
        <w:numPr>
          <w:ilvl w:val="0"/>
          <w:numId w:val="2"/>
        </w:numPr>
        <w:tabs>
          <w:tab w:pos="910" w:val="left" w:leader="none"/>
        </w:tabs>
        <w:spacing w:line="276" w:lineRule="auto" w:before="0" w:after="0"/>
        <w:ind w:left="910" w:right="113" w:hanging="432"/>
        <w:jc w:val="both"/>
      </w:pPr>
      <w:r>
        <w:t xml:space="preserve">Tā kā no produktiem izrietošie pasūtījumi ir saderīgi ar starpzonu jaudas raksturlielumiem, D produktu priekšlikums palīdz veicināt optimālu starpzonu jaudas piešķiršanu un nodrošināt optimālu pārvades infrastruktūras izmantošanu. </w:t>
      </w:r>
      <w:r>
        <w:t>Tā kā visi no pieejamiem produktiem izrietošie pasūtījumi var piekļūt pieejamai starpzonu jaudai ar DTSO funkcijas palīdzību, D produktu priekšlikums nodrošina nediskriminējošu piekļuvi starpzonu jaudai.</w:t>
      </w:r>
    </w:p>
    <w:p>
      <w:pPr>
        <w:pStyle w:val="BodyText"/>
        <w:numPr>
          <w:ilvl w:val="0"/>
          <w:numId w:val="2"/>
        </w:numPr>
        <w:tabs>
          <w:tab w:pos="910" w:val="left" w:leader="none"/>
        </w:tabs>
        <w:spacing w:line="276" w:lineRule="auto" w:before="0" w:after="0"/>
        <w:ind w:left="910" w:right="112" w:hanging="432"/>
        <w:jc w:val="both"/>
      </w:pPr>
      <w:r>
        <w:t xml:space="preserve">D produktu priekšlikums nodrošina darbības drošību, jo NETO jākonsultē PSO vismaz reizi divos gados, lai garantētu, ka pieejamie produkti ņem vērā darbības drošību. </w:t>
      </w:r>
      <w:r>
        <w:t>Turklāt, ja PSO konstatē jebkādas problēmas saistībā ar darbības drošību, tie ir tiesīgi pieprasīt, lai NETO ierosina D produktu priekšlikuma grozījumus.</w:t>
      </w:r>
    </w:p>
    <w:p>
      <w:pPr>
        <w:pStyle w:val="BodyText"/>
        <w:numPr>
          <w:ilvl w:val="0"/>
          <w:numId w:val="2"/>
        </w:numPr>
        <w:tabs>
          <w:tab w:pos="910" w:val="left" w:leader="none"/>
        </w:tabs>
        <w:spacing w:line="276" w:lineRule="auto" w:before="0" w:after="0"/>
        <w:ind w:left="910" w:right="114" w:hanging="432"/>
        <w:jc w:val="both"/>
      </w:pPr>
      <w:r>
        <w:t xml:space="preserve">D produktu priekšlikumā norādītie produkti ir pieejami NETO, lai piedāvātu tos attiecīgajiem tirgus dalībniekiem, un tie visi ir saderīgi ar DS. </w:t>
      </w:r>
      <w:r>
        <w:t xml:space="preserve">Tādējādi D produktu priekšlikums nodrošina taisnīgu un nediskriminējošu attieksmi pret PSO, NETO, aģentūru, pārvaldes iestādēm un tirgus dalībniekiem.  </w:t>
      </w:r>
      <w:r>
        <w:t>Lai nodrošinātu, ka D produktu priekšlikums turpina veicināt taisnīgu un nediskriminējošu attieksmi, NETO vismaz reizi divos gados konsultē visas puses par pieejamiem produktiem.</w:t>
      </w:r>
    </w:p>
    <w:p>
      <w:pPr>
        <w:pStyle w:val="BodyText"/>
        <w:numPr>
          <w:ilvl w:val="0"/>
          <w:numId w:val="2"/>
        </w:numPr>
        <w:tabs>
          <w:tab w:pos="910" w:val="left" w:leader="none"/>
        </w:tabs>
        <w:spacing w:line="276" w:lineRule="auto" w:before="0" w:after="0"/>
        <w:ind w:left="910" w:right="113" w:hanging="432"/>
        <w:jc w:val="both"/>
      </w:pPr>
      <w:r>
        <w:t xml:space="preserve">Turklāt mēs ierosinām, ka visas izmaiņas pieejamos produktos jāpārvalda saskaņā ar izmaiņu vadības principiem un </w:t>
      </w:r>
      <w:r>
        <w:rPr>
          <w:rFonts w:ascii="Calibri" w:hAnsi="Calibri"/>
        </w:rPr>
        <w:t xml:space="preserve">visu NETO </w:t>
      </w:r>
      <w:r>
        <w:t xml:space="preserve">priekšlikumā aprakstīto procesu attiecībā uz cenu sasaistes algoritmu un pastāvīgās tirdzniecības saskaņošanas algoritmu. </w:t>
      </w:r>
      <w:r>
        <w:t>Šie principi:</w:t>
      </w:r>
    </w:p>
    <w:p>
      <w:pPr>
        <w:pStyle w:val="BodyText"/>
        <w:numPr>
          <w:ilvl w:val="1"/>
          <w:numId w:val="2"/>
        </w:numPr>
        <w:tabs>
          <w:tab w:pos="1342" w:val="left" w:leader="none"/>
        </w:tabs>
        <w:spacing w:line="276" w:lineRule="auto" w:before="0" w:after="0"/>
        <w:ind w:left="1342" w:right="118" w:hanging="504"/>
        <w:jc w:val="both"/>
      </w:pPr>
      <w:r>
        <w:t>nodrošina atklātu, pārredzamu, nediskriminējošu veidu, kā pārvaldīt izmaiņu pieprasījumus, tai skaitā attiecīgajos gadījumos — ieinteresēto personu ieguldījumu;</w:t>
      </w:r>
    </w:p>
    <w:p>
      <w:pPr>
        <w:pStyle w:val="BodyText"/>
        <w:numPr>
          <w:ilvl w:val="1"/>
          <w:numId w:val="2"/>
        </w:numPr>
        <w:tabs>
          <w:tab w:pos="1342" w:val="left" w:leader="none"/>
        </w:tabs>
        <w:spacing w:line="276" w:lineRule="auto" w:before="0" w:after="0"/>
        <w:ind w:left="1342" w:right="121" w:hanging="504"/>
        <w:jc w:val="both"/>
      </w:pPr>
      <w:r>
        <w:t>sniedz pārliecību, ka algoritma veiktspēja tagad un saprātīgā laika posmā nākotnē tiek uzturēta pieņemamā līmenī, paredzot iespējamo tirgus izaugsmi un attīstību;</w:t>
      </w:r>
    </w:p>
    <w:p>
      <w:pPr>
        <w:pStyle w:val="BodyText"/>
        <w:numPr>
          <w:ilvl w:val="1"/>
          <w:numId w:val="2"/>
        </w:numPr>
        <w:tabs>
          <w:tab w:pos="1342" w:val="left" w:leader="none"/>
        </w:tabs>
        <w:spacing w:line="276" w:lineRule="auto" w:before="0" w:after="0"/>
        <w:ind w:left="1342" w:right="114" w:hanging="504"/>
        <w:jc w:val="both"/>
      </w:pPr>
      <w:r>
        <w:t>ļauj atbalstīt atsevišķu NETO vai PSO pieprasījumus, ja tas nekaitē citiem vai ietver pasākumus kaitējuma mazināšanai;</w:t>
      </w:r>
    </w:p>
    <w:p>
      <w:pPr>
        <w:pStyle w:val="BodyText"/>
        <w:numPr>
          <w:ilvl w:val="1"/>
          <w:numId w:val="2"/>
        </w:numPr>
        <w:tabs>
          <w:tab w:pos="1342" w:val="left" w:leader="none"/>
        </w:tabs>
        <w:spacing w:line="240" w:lineRule="auto" w:before="0" w:after="0"/>
        <w:ind w:left="1342" w:right="0" w:hanging="504"/>
        <w:jc w:val="left"/>
      </w:pPr>
      <w:r>
        <w:t>izveido taisnīgu un efektīvu procesu, kas atbalsta savlaicīgu tirgus attīstību.</w:t>
      </w:r>
    </w:p>
    <w:p>
      <w:pPr>
        <w:pStyle w:val="BodyText"/>
        <w:numPr>
          <w:ilvl w:val="0"/>
          <w:numId w:val="2"/>
        </w:numPr>
        <w:tabs>
          <w:tab w:pos="910" w:val="left" w:leader="none"/>
        </w:tabs>
        <w:spacing w:line="276" w:lineRule="auto" w:before="36" w:after="0"/>
        <w:ind w:left="910" w:right="115" w:hanging="432"/>
        <w:jc w:val="both"/>
      </w:pPr>
      <w:r>
        <w:rPr>
          <w:rFonts w:ascii="Calibri" w:hAnsi="Calibri"/>
        </w:rPr>
        <w:t xml:space="preserve">Ievērojot izmaiņu vadības principus un visu NETO </w:t>
      </w:r>
      <w:r>
        <w:t>priekšlikumā aprakstīto procesu attiecībā uz cenu sasaistes algoritmu un pastāvīgas tirdzniecības saskaņošanas algoritmu, kad tiek ieviestas jebkādas izmaiņas pieejamos produktos, NETO garantē, ka D produktu priekšlikumā ievērota nepieciešamība pēc taisnīga un sakārtota tirgus, kā arī pēc taisnīgas un sakārtotas cenu noteikšanas.</w:t>
      </w:r>
    </w:p>
    <w:p>
      <w:pPr>
        <w:pStyle w:val="BodyText"/>
        <w:numPr>
          <w:ilvl w:val="0"/>
          <w:numId w:val="2"/>
        </w:numPr>
        <w:tabs>
          <w:tab w:pos="910" w:val="left" w:leader="none"/>
        </w:tabs>
        <w:spacing w:line="276" w:lineRule="auto" w:before="0" w:after="0"/>
        <w:ind w:left="910" w:right="113" w:hanging="432"/>
        <w:jc w:val="both"/>
      </w:pPr>
      <w:r>
        <w:t xml:space="preserve">Pastāvīgās tirdzniecības saskaņošanas algoritms vienmēr veic saskaņā ar dažādiem līgumiem iesniegto pasūtījumu saskaņošanu, ievērojot cenas-laika prioritātes principu. </w:t>
      </w:r>
      <w:r>
        <w:t xml:space="preserve">Tas nozīmē, ka vispirms tiek atlasīti pasūtījumi ar labāku cenu ierobežojumu. </w:t>
      </w:r>
      <w:r>
        <w:t xml:space="preserve">Ja diviem pasūtījumiem ir vienāds cenu ierobežojums, vispirms tiek atlasīts pasūtījums ar vecāko laikspiedolu. </w:t>
      </w:r>
      <w:r>
        <w:t>Tas nodrošina taisnīgu un sakārtotu cenu noteikšanu visiem produktiem.</w:t>
      </w:r>
    </w:p>
    <w:p>
      <w:pPr>
        <w:pStyle w:val="BodyText"/>
        <w:numPr>
          <w:ilvl w:val="0"/>
          <w:numId w:val="2"/>
        </w:numPr>
        <w:tabs>
          <w:tab w:pos="910" w:val="left" w:leader="none"/>
        </w:tabs>
        <w:spacing w:line="276" w:lineRule="auto" w:before="0" w:after="0"/>
        <w:ind w:left="910" w:right="115" w:hanging="432"/>
        <w:jc w:val="both"/>
      </w:pPr>
      <w:r>
        <w:t xml:space="preserve">Katram produktu tipam visās tirgus jomās piemēro tos pašus atribūtus (kā norādīts 2. pantā). </w:t>
      </w:r>
      <w:r>
        <w:t>Netiks veikta pasūtījumu raksturlielumu diferenciācija, tādējādi nodrošinot taisnīgu tirgu.</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after="0" w:line="276" w:lineRule="auto"/>
        <w:jc w:val="both"/>
        <w:sectPr>
          <w:pgSz w:w="11910" w:h="16840"/>
          <w:pgMar w:top="1080" w:bottom="280" w:left="1680" w:right="1680"/>
        </w:sectPr>
      </w:pPr>
    </w:p>
    <w:p>
      <w:pPr>
        <w:pStyle w:val="BodyText"/>
        <w:numPr>
          <w:ilvl w:val="0"/>
          <w:numId w:val="2"/>
        </w:numPr>
        <w:tabs>
          <w:tab w:pos="910" w:val="left" w:leader="none"/>
        </w:tabs>
        <w:spacing w:line="276" w:lineRule="auto" w:before="38" w:after="0"/>
        <w:ind w:left="910" w:right="113" w:hanging="432"/>
        <w:jc w:val="both"/>
      </w:pPr>
      <w:r>
        <w:t xml:space="preserve">NETO plāno nodrošināt visas tirgus vajadzības ar pieejamiem produktiem, lai maksimāli palielinātu likviditāti saistītajos tirgos. </w:t>
      </w:r>
      <w:r>
        <w:t>Lai sasniegtu šo mērķi, ir pieejami 2. pantā minētie pasūtījumu tipi.</w:t>
      </w:r>
    </w:p>
    <w:p>
      <w:pPr>
        <w:pStyle w:val="BodyText"/>
        <w:numPr>
          <w:ilvl w:val="0"/>
          <w:numId w:val="2"/>
        </w:numPr>
        <w:tabs>
          <w:tab w:pos="910" w:val="left" w:leader="none"/>
        </w:tabs>
        <w:spacing w:line="276" w:lineRule="auto" w:before="0" w:after="0"/>
        <w:ind w:left="910" w:right="117" w:hanging="432"/>
        <w:jc w:val="both"/>
      </w:pPr>
      <w:r>
        <w:t xml:space="preserve">Pieprasot NETO publicēt un uzturēt detalizētu publisku DS atbalstīto produktu aprakstu, D produktu priekšlikums nodrošina un uzlabo informācijas pārredzamību un ticamību. </w:t>
      </w:r>
      <w:r>
        <w:t>Turklāt NETO iesaista visas ieinteresētās personas visās konsultācijās, kas nepieciešamas, lai pārvaldītu D produktu priekšlikuma vai pieejamo produktu izmaiņas.</w:t>
      </w:r>
    </w:p>
    <w:p>
      <w:pPr>
        <w:pStyle w:val="BodyText"/>
        <w:numPr>
          <w:ilvl w:val="0"/>
          <w:numId w:val="2"/>
        </w:numPr>
        <w:tabs>
          <w:tab w:pos="910" w:val="left" w:leader="none"/>
        </w:tabs>
        <w:spacing w:line="276" w:lineRule="auto" w:before="0" w:after="0"/>
        <w:ind w:left="910" w:right="117" w:hanging="432"/>
        <w:jc w:val="both"/>
      </w:pPr>
      <w:r>
        <w:t>D produktu priekšlikums nodrošina vienādus noteikumus visiem NETO, jo visi D produktu priekšlikumā norādītie produkti ir pieejami visiem NETO, un visas izmaiņas pieejamos produktos reglamentē izmaiņu vadības principi v</w:t>
      </w:r>
      <w:r>
        <w:rPr>
          <w:rFonts w:ascii="Calibri" w:hAnsi="Calibri"/>
        </w:rPr>
        <w:t xml:space="preserve">isu NETO priekšlikumā </w:t>
      </w:r>
      <w:r>
        <w:t>attiecībā uz cenu sasaistes algoritmu un pastāvīgās tirdzniecības saskaņošanas algoritmu.</w:t>
      </w:r>
    </w:p>
    <w:p>
      <w:pPr>
        <w:pStyle w:val="BodyText"/>
        <w:numPr>
          <w:ilvl w:val="0"/>
          <w:numId w:val="2"/>
        </w:numPr>
        <w:tabs>
          <w:tab w:pos="910" w:val="left" w:leader="none"/>
        </w:tabs>
        <w:spacing w:line="276" w:lineRule="auto" w:before="0" w:after="0"/>
        <w:ind w:left="910" w:right="112" w:hanging="432"/>
        <w:jc w:val="both"/>
      </w:pPr>
      <w:r>
        <w:t>Konsultējot visas puses par pieejamiem produktiem vismaz reizi divos gados, visi NETO garantē, ka D produktu priekšlikums turpina sniegt ieguldījumu elektrības pārvades sistēmas un elektroenerģijas nozares efektīvā ilgtermiņa darbībā un izveidē Savienībā.</w:t>
      </w:r>
    </w:p>
    <w:p>
      <w:pPr>
        <w:pStyle w:val="BodyText"/>
        <w:numPr>
          <w:ilvl w:val="0"/>
          <w:numId w:val="2"/>
        </w:numPr>
        <w:tabs>
          <w:tab w:pos="910" w:val="left" w:leader="none"/>
        </w:tabs>
        <w:spacing w:line="276" w:lineRule="auto" w:before="0" w:after="0"/>
        <w:ind w:left="910" w:right="122" w:hanging="432"/>
        <w:jc w:val="both"/>
      </w:pPr>
      <w:r>
        <w:t xml:space="preserve">Katrs atsevišķais produkts var radīt lielu ietekmi uz algoritma veiktspēju atkarībā no to faktiskā lietojuma un faktiskā pasūtījumu sastāva. </w:t>
      </w:r>
      <w:r>
        <w:t>Ietekme uz algoritma veiktspēju ir atkarīga no:</w:t>
      </w:r>
    </w:p>
    <w:p>
      <w:pPr>
        <w:pStyle w:val="BodyText"/>
        <w:numPr>
          <w:ilvl w:val="0"/>
          <w:numId w:val="3"/>
        </w:numPr>
        <w:tabs>
          <w:tab w:pos="1558" w:val="left" w:leader="none"/>
        </w:tabs>
        <w:spacing w:line="240" w:lineRule="auto" w:before="0" w:after="0"/>
        <w:ind w:left="1558" w:right="0" w:hanging="360"/>
        <w:jc w:val="left"/>
      </w:pPr>
      <w:r>
        <w:t>produkta iesniegto pasūtījumu skaita;</w:t>
      </w:r>
    </w:p>
    <w:p>
      <w:pPr>
        <w:pStyle w:val="BodyText"/>
        <w:numPr>
          <w:ilvl w:val="0"/>
          <w:numId w:val="3"/>
        </w:numPr>
        <w:tabs>
          <w:tab w:pos="1558" w:val="left" w:leader="none"/>
        </w:tabs>
        <w:spacing w:line="276" w:lineRule="auto" w:before="36" w:after="0"/>
        <w:ind w:left="1558" w:right="124" w:hanging="360"/>
        <w:jc w:val="left"/>
      </w:pPr>
      <w:r>
        <w:t>konkrētajām parametru vērtībām, kas noteiktas iesniegtajos produkta pasūtījumos, tai skaitā cenām un daudzuma;</w:t>
      </w:r>
    </w:p>
    <w:p>
      <w:pPr>
        <w:pStyle w:val="BodyText"/>
        <w:numPr>
          <w:ilvl w:val="0"/>
          <w:numId w:val="3"/>
        </w:numPr>
        <w:tabs>
          <w:tab w:pos="1558" w:val="left" w:leader="none"/>
        </w:tabs>
        <w:spacing w:line="240" w:lineRule="auto" w:before="2" w:after="0"/>
        <w:ind w:left="1558" w:right="0" w:hanging="360"/>
        <w:jc w:val="left"/>
      </w:pPr>
      <w:r>
        <w:t>tā laiksakritīgā lietojuma kopā ar citiem produktiem un PSO ierobežojumiem.</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20" w:lineRule="exact" w:before="16"/>
        <w:rPr>
          <w:sz w:val="22"/>
          <w:szCs w:val="22"/>
        </w:rPr>
      </w:pPr>
    </w:p>
    <w:p>
      <w:pPr>
        <w:pStyle w:val="Heading2"/>
        <w:spacing w:line="240" w:lineRule="auto"/>
        <w:ind w:right="0"/>
        <w:jc w:val="left"/>
        <w:rPr>
          <w:b w:val="0"/>
          <w:bCs w:val="0"/>
          <w:i w:val="0"/>
        </w:rPr>
      </w:pPr>
      <w:r>
        <w:rPr>
          <w:i/>
        </w:rPr>
        <w:t>Ieviešanas termiņš</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20" w:lineRule="exact" w:before="16"/>
        <w:rPr>
          <w:sz w:val="22"/>
          <w:szCs w:val="22"/>
        </w:rPr>
      </w:pPr>
    </w:p>
    <w:p>
      <w:pPr>
        <w:pStyle w:val="BodyText"/>
        <w:spacing w:line="276" w:lineRule="auto"/>
        <w:ind w:left="478" w:right="0" w:firstLine="0"/>
        <w:jc w:val="left"/>
      </w:pPr>
      <w:r>
        <w:t>NETO ievieš produktu priekšlikumu solīšanas zonā attiecībā uz DS darbību uzreiz pēc tam, kad:</w:t>
      </w:r>
    </w:p>
    <w:p>
      <w:pPr>
        <w:pStyle w:val="BodyText"/>
        <w:numPr>
          <w:ilvl w:val="0"/>
          <w:numId w:val="4"/>
        </w:numPr>
        <w:tabs>
          <w:tab w:pos="1198" w:val="left" w:leader="none"/>
        </w:tabs>
        <w:spacing w:line="276" w:lineRule="auto" w:before="0" w:after="0"/>
        <w:ind w:left="1198" w:right="120" w:hanging="360"/>
        <w:jc w:val="both"/>
      </w:pPr>
      <w:r>
        <w:t>saskaņā ar JPPP regulas 17. pantu izstrādātā kopīgā tīkla modeļa metodoloģija, saskaņā ar JPPP regulas 20. pantu izstrādātā jaudas aprēķināšanas metodoloģija un attiecīgais saskaņotais jaudas kalkulators ir izveidoti saskaņā ar JPPP regulas 27. pantu par attiecīgā jaudas aprēķina reģiona robežām;</w:t>
      </w:r>
    </w:p>
    <w:p>
      <w:pPr>
        <w:pStyle w:val="BodyText"/>
        <w:numPr>
          <w:ilvl w:val="0"/>
          <w:numId w:val="4"/>
        </w:numPr>
        <w:tabs>
          <w:tab w:pos="1198" w:val="left" w:leader="none"/>
        </w:tabs>
        <w:spacing w:line="276" w:lineRule="auto" w:before="0" w:after="0"/>
        <w:ind w:left="1198" w:right="114" w:hanging="360"/>
        <w:jc w:val="both"/>
      </w:pPr>
      <w:r>
        <w:t>TSO funkcija ieviesta saskaņā ar JPPP regulas 7. panta 3. punktu, un pasākumi vairāku NETO ietveršanai, kas izstrādāti saskaņā ar 57. pantu, ir ieviesti visās solīšanas zonās, kurās ir vairāki NETO.</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00" w:lineRule="exact" w:before="0"/>
        <w:rPr>
          <w:sz w:val="20"/>
          <w:szCs w:val="20"/>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60" w:lineRule="exact" w:before="17"/>
        <w:rPr>
          <w:sz w:val="26"/>
          <w:szCs w:val="26"/>
        </w:rPr>
      </w:pPr>
    </w:p>
    <w:p>
      <w:pPr>
        <w:spacing w:before="0"/>
        <w:ind w:left="2868" w:right="2868" w:firstLine="0"/>
        <w:jc w:val="center"/>
        <w:rPr>
          <w:rFonts w:ascii="Calibri" w:hAnsi="Calibri" w:cs="Calibri" w:eastAsia="Calibri"/>
          <w:sz w:val="20"/>
          <w:szCs w:val="20"/>
        </w:rPr>
      </w:pPr>
      <w:r>
        <w:rPr>
          <w:rFonts w:ascii="Calibri"/>
          <w:i/>
          <w:sz w:val="20"/>
        </w:rPr>
        <w:t>1. pants</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110" w:lineRule="exact" w:before="8"/>
        <w:rPr>
          <w:sz w:val="11"/>
          <w:szCs w:val="11"/>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00" w:lineRule="exact" w:before="0"/>
        <w:rPr>
          <w:sz w:val="20"/>
          <w:szCs w:val="20"/>
        </w:rPr>
      </w:pPr>
    </w:p>
    <w:p>
      <w:pPr>
        <w:pStyle w:val="Heading1"/>
        <w:spacing w:line="240" w:lineRule="auto"/>
        <w:ind w:left="2869" w:right="2868"/>
        <w:jc w:val="center"/>
        <w:rPr>
          <w:b w:val="0"/>
          <w:bCs w:val="0"/>
        </w:rPr>
      </w:pPr>
      <w:r>
        <w:t>Vispārīgās prasības</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110" w:lineRule="exact" w:before="7"/>
        <w:rPr>
          <w:sz w:val="11"/>
          <w:szCs w:val="11"/>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00" w:lineRule="exact" w:before="0"/>
        <w:rPr>
          <w:sz w:val="20"/>
          <w:szCs w:val="20"/>
        </w:rPr>
      </w:pPr>
    </w:p>
    <w:p>
      <w:pPr>
        <w:pStyle w:val="BodyText"/>
        <w:numPr>
          <w:ilvl w:val="0"/>
          <w:numId w:val="5"/>
        </w:numPr>
        <w:tabs>
          <w:tab w:pos="478" w:val="left" w:leader="none"/>
        </w:tabs>
        <w:spacing w:line="276" w:lineRule="auto" w:before="0" w:after="0"/>
        <w:ind w:left="478" w:right="114" w:hanging="360"/>
        <w:jc w:val="both"/>
      </w:pPr>
      <w:r>
        <w:t xml:space="preserve">Produkti tiek padarīti pieejami tirgus dalībniekiem saskaņā ar </w:t>
      </w:r>
      <w:r>
        <w:rPr>
          <w:rFonts w:ascii="Calibri" w:hAnsi="Calibri"/>
        </w:rPr>
        <w:t xml:space="preserve">attiecīgo NETO </w:t>
      </w:r>
      <w:r>
        <w:t>tirgus noteikumiem.</w:t>
      </w:r>
    </w:p>
    <w:p>
      <w:pPr>
        <w:pStyle w:val="BodyText"/>
        <w:numPr>
          <w:ilvl w:val="0"/>
          <w:numId w:val="5"/>
        </w:numPr>
        <w:tabs>
          <w:tab w:pos="478" w:val="left" w:leader="none"/>
        </w:tabs>
        <w:spacing w:line="276" w:lineRule="auto" w:before="0" w:after="0"/>
        <w:ind w:left="478" w:right="113" w:hanging="360"/>
        <w:jc w:val="both"/>
      </w:pPr>
      <w:r>
        <w:t xml:space="preserve">Visi no šiem produktiem izrietošie pasūtījumi, kas iesniegti pastāvīgās tirdzniecības saskaņošanas algoritmam, tiek izteikti eiro un atsaucas uz tirgus laiku. </w:t>
      </w:r>
      <w:r>
        <w:t>NETO ir tiesīgi nodrošināt, ka tirgus dalībnieku iesniegtie pasūtījumi tiek izteikti un apmaksāti vietējā valūtā vai eiro.</w:t>
      </w:r>
    </w:p>
    <w:p>
      <w:pPr>
        <w:pStyle w:val="BodyText"/>
        <w:numPr>
          <w:ilvl w:val="0"/>
          <w:numId w:val="5"/>
        </w:numPr>
        <w:tabs>
          <w:tab w:pos="478" w:val="left" w:leader="none"/>
        </w:tabs>
        <w:spacing w:line="276" w:lineRule="auto" w:before="0" w:after="0"/>
        <w:ind w:left="478" w:right="115" w:hanging="360"/>
        <w:jc w:val="both"/>
      </w:pPr>
      <w:r>
        <w:t xml:space="preserve">Uz jauniem vai pārveidotiem produktiem attiecas izmaiņu pieprasījums. </w:t>
      </w:r>
      <w:r>
        <w:t xml:space="preserve">Uz šādu izmaiņu pieprasījumu attiecas izmaiņu vadības principi, kas noteikti </w:t>
      </w:r>
      <w:r>
        <w:rPr>
          <w:rFonts w:ascii="Calibri" w:hAnsi="Calibri"/>
        </w:rPr>
        <w:t xml:space="preserve">visu NETO priekšlikumā attiecībā uz cenu sasaistes </w:t>
      </w:r>
      <w:r>
        <w:t xml:space="preserve">algoritmu un pastāvīgās tirdzniecības saskaņošanas algoritmu (turpmāk — </w:t>
      </w:r>
      <w:r>
        <w:rPr>
          <w:rFonts w:ascii="Calibri" w:hAnsi="Calibri"/>
        </w:rPr>
        <w:t>„Algoritmu priekšlikums”</w:t>
      </w:r>
      <w:r>
        <w:t>).</w:t>
      </w:r>
    </w:p>
    <w:p>
      <w:pPr>
        <w:pStyle w:val="BodyText"/>
        <w:numPr>
          <w:ilvl w:val="0"/>
          <w:numId w:val="5"/>
        </w:numPr>
        <w:tabs>
          <w:tab w:pos="478" w:val="left" w:leader="none"/>
        </w:tabs>
        <w:spacing w:line="276" w:lineRule="auto" w:before="0" w:after="0"/>
        <w:ind w:left="478" w:right="123" w:hanging="360"/>
        <w:jc w:val="both"/>
      </w:pPr>
      <w:r>
        <w:t xml:space="preserve">Šī priekšlikuma atsauces valoda ir angļu valoda. </w:t>
      </w:r>
      <w:r>
        <w:t>Lai novērstu šaubas gadījumos, kad NETO nepieciešams pārtulkot šo priekšlikumu valsts valodā(-s), ja</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after="0" w:line="276" w:lineRule="auto"/>
        <w:jc w:val="both"/>
        <w:sectPr>
          <w:pgSz w:w="11910" w:h="16840"/>
          <w:pgMar w:top="1080" w:bottom="280" w:left="1680" w:right="1680"/>
        </w:sectPr>
      </w:pPr>
    </w:p>
    <w:p>
      <w:pPr>
        <w:pStyle w:val="BodyText"/>
        <w:spacing w:line="276" w:lineRule="auto" w:before="38"/>
        <w:ind w:left="478" w:right="116" w:firstLine="0"/>
        <w:jc w:val="both"/>
      </w:pPr>
      <w:r>
        <w:t>pastāv neatbilstības starp tekstu angļu valodā, ko NETO publicējuši saskaņā ar JPPP regulas 9. panta 14. punktu un jebkuru tekstu citā valodā, NETO ir pienākums novērst visas neatbilstības, nodrošinot attiecīgajām valstu pārvaldes iestādēm pārskatītu šī priekšlikuma tulkojumu.</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160" w:lineRule="exact" w:before="1"/>
        <w:rPr>
          <w:sz w:val="16"/>
          <w:szCs w:val="16"/>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00" w:lineRule="exact" w:before="0"/>
        <w:rPr>
          <w:sz w:val="20"/>
          <w:szCs w:val="20"/>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00" w:lineRule="exact" w:before="0"/>
        <w:rPr>
          <w:sz w:val="20"/>
          <w:szCs w:val="20"/>
        </w:rPr>
      </w:pPr>
    </w:p>
    <w:p>
      <w:pPr>
        <w:spacing w:before="0"/>
        <w:ind w:left="2868" w:right="2868" w:firstLine="0"/>
        <w:jc w:val="center"/>
        <w:rPr>
          <w:rFonts w:ascii="Calibri" w:hAnsi="Calibri" w:cs="Calibri" w:eastAsia="Calibri"/>
          <w:sz w:val="20"/>
          <w:szCs w:val="20"/>
        </w:rPr>
      </w:pPr>
      <w:r>
        <w:rPr>
          <w:rFonts w:ascii="Calibri"/>
          <w:i/>
          <w:sz w:val="20"/>
        </w:rPr>
        <w:t>2. pants</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110" w:lineRule="exact" w:before="7"/>
        <w:rPr>
          <w:sz w:val="11"/>
          <w:szCs w:val="11"/>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00" w:lineRule="exact" w:before="0"/>
        <w:rPr>
          <w:sz w:val="20"/>
          <w:szCs w:val="20"/>
        </w:rPr>
      </w:pPr>
    </w:p>
    <w:p>
      <w:pPr>
        <w:pStyle w:val="Heading1"/>
        <w:spacing w:line="240" w:lineRule="auto"/>
        <w:ind w:left="2871" w:right="2868"/>
        <w:jc w:val="center"/>
        <w:rPr>
          <w:b w:val="0"/>
          <w:bCs w:val="0"/>
        </w:rPr>
      </w:pPr>
      <w:r>
        <w:t>Diennakts sasaistes produkti</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110" w:lineRule="exact" w:before="7"/>
        <w:rPr>
          <w:sz w:val="11"/>
          <w:szCs w:val="11"/>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00" w:lineRule="exact" w:before="0"/>
        <w:rPr>
          <w:sz w:val="20"/>
          <w:szCs w:val="20"/>
        </w:rPr>
      </w:pPr>
    </w:p>
    <w:p>
      <w:pPr>
        <w:pStyle w:val="BodyText"/>
        <w:numPr>
          <w:ilvl w:val="0"/>
          <w:numId w:val="6"/>
        </w:numPr>
        <w:tabs>
          <w:tab w:pos="478" w:val="left" w:leader="none"/>
        </w:tabs>
        <w:spacing w:line="276" w:lineRule="auto" w:before="0" w:after="0"/>
        <w:ind w:left="478" w:right="111" w:hanging="360"/>
        <w:jc w:val="both"/>
      </w:pPr>
      <w:r>
        <w:t xml:space="preserve">Diennakts tirgū darījumi notiek, balstoties uz līgumā definētu raksturlielumu kopumu. </w:t>
      </w:r>
      <w:r>
        <w:t xml:space="preserve">Līgumā minēts instruments, ko tirdzniecību īstenojošās puses izmanto, lai noslēgtu līgumu ar mērķi pārdot/pirkt noteiktu daudzumu enerģijas ar iepriekš definētu piegādes laiku. </w:t>
      </w:r>
      <w:r>
        <w:t>Tirdzniecību īstenojošajām pusēm tirdzniecības nolūkos ir pieejami vairāki līgumi.</w:t>
      </w:r>
    </w:p>
    <w:p>
      <w:pPr>
        <w:pStyle w:val="BodyText"/>
        <w:spacing w:line="276" w:lineRule="auto"/>
        <w:ind w:left="478" w:right="114" w:firstLine="0"/>
        <w:jc w:val="both"/>
      </w:pPr>
      <w:r>
        <w:t xml:space="preserve">Produkts definē pamatnostādnes, kas regulē līgumu ģenerēšanu. </w:t>
      </w:r>
      <w:r>
        <w:t xml:space="preserve">Produkts ir paraugs, kas tiek izmantots kā standarts līgumu ģenerēšanai ar produkta paraugā definēto rīcību. </w:t>
      </w:r>
      <w:r>
        <w:rPr>
          <w:rFonts w:ascii="Calibri" w:hAnsi="Calibri"/>
        </w:rPr>
        <w:t xml:space="preserve">Produktu un līgumu attiecība ir tāda pati kā 1 pret „n”. </w:t>
      </w:r>
      <w:r>
        <w:rPr>
          <w:rFonts w:ascii="Calibri" w:hAnsi="Calibri"/>
        </w:rPr>
        <w:t xml:space="preserve">T i., </w:t>
      </w:r>
      <w:r>
        <w:t>katram produktam ir vairāki līgumi, un katrs līgums pieder tikai vienam produktam.</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80" w:lineRule="exact" w:before="1"/>
        <w:rPr>
          <w:sz w:val="28"/>
          <w:szCs w:val="28"/>
        </w:rPr>
      </w:pPr>
    </w:p>
    <w:p>
      <w:pPr>
        <w:pStyle w:val="BodyText"/>
        <w:numPr>
          <w:ilvl w:val="0"/>
          <w:numId w:val="6"/>
        </w:numPr>
        <w:tabs>
          <w:tab w:pos="478" w:val="left" w:leader="none"/>
        </w:tabs>
        <w:spacing w:line="240" w:lineRule="auto" w:before="0" w:after="0"/>
        <w:ind w:left="478" w:right="0" w:hanging="360"/>
        <w:jc w:val="left"/>
      </w:pPr>
      <w:r>
        <w:t>Pastāvīgās tirdzniecības saskaņošanas algoritms atbalsta šādus produktus:</w:t>
      </w:r>
    </w:p>
    <w:p>
      <w:pPr>
        <w:pStyle w:val="BodyText"/>
        <w:numPr>
          <w:ilvl w:val="1"/>
          <w:numId w:val="6"/>
        </w:numPr>
        <w:tabs>
          <w:tab w:pos="910" w:val="left" w:leader="none"/>
        </w:tabs>
        <w:spacing w:line="276" w:lineRule="auto" w:before="36" w:after="0"/>
        <w:ind w:left="910" w:right="119" w:hanging="432"/>
        <w:jc w:val="both"/>
      </w:pPr>
      <w:r>
        <w:t xml:space="preserve">stundas: produkts atbalsta tirdzniecību 24 elektropiegādes līgumos, kas katrs paredzēti vienai dienas stundai. </w:t>
      </w:r>
      <w:r>
        <w:t>Sistēma automātiski ģenerē šos līgumus un padara tos pieejamus tirdzniecībai noteiktā laikā vienu dienu pirms piegādes dienas;</w:t>
      </w:r>
    </w:p>
    <w:p>
      <w:pPr>
        <w:pStyle w:val="BodyText"/>
        <w:numPr>
          <w:ilvl w:val="1"/>
          <w:numId w:val="6"/>
        </w:numPr>
        <w:tabs>
          <w:tab w:pos="910" w:val="left" w:leader="none"/>
        </w:tabs>
        <w:spacing w:line="276" w:lineRule="auto" w:before="0" w:after="0"/>
        <w:ind w:left="910" w:right="114" w:hanging="432"/>
        <w:jc w:val="both"/>
      </w:pPr>
      <w:r>
        <w:t xml:space="preserve">pusstundas: produkts atbalsta tirdzniecību 48 elektropiegādes līgumos, kas katrs paredzēti vienai pusstundai dienā. </w:t>
      </w:r>
      <w:r>
        <w:t>Sistēma automātiski ģenerē šos līgumus un padara tos pieejamus tirdzniecībai noteiktā laikā vienu dienu pirms piegādes dienas;</w:t>
      </w:r>
    </w:p>
    <w:p>
      <w:pPr>
        <w:pStyle w:val="BodyText"/>
        <w:numPr>
          <w:ilvl w:val="1"/>
          <w:numId w:val="6"/>
        </w:numPr>
        <w:tabs>
          <w:tab w:pos="910" w:val="left" w:leader="none"/>
        </w:tabs>
        <w:spacing w:line="276" w:lineRule="auto" w:before="0" w:after="0"/>
        <w:ind w:left="910" w:right="116" w:hanging="432"/>
        <w:jc w:val="both"/>
      </w:pPr>
      <w:r>
        <w:t xml:space="preserve">ceturtdaļstundas: produkts atbalsta tirdzniecību 96 elektropiegādes līgumos, kas katrs paredzēti 15 minūtēm dienā. </w:t>
      </w:r>
      <w:r>
        <w:t>Sistēma automātiski ģenerē šos līgumus un padara tos pieejamus tirdzniecībai noteiktā laikā vienu dienu pirms piegādes dienas;</w:t>
      </w:r>
    </w:p>
    <w:p>
      <w:pPr>
        <w:pStyle w:val="BodyText"/>
        <w:numPr>
          <w:ilvl w:val="1"/>
          <w:numId w:val="6"/>
        </w:numPr>
        <w:tabs>
          <w:tab w:pos="910" w:val="left" w:leader="none"/>
        </w:tabs>
        <w:spacing w:line="276" w:lineRule="auto" w:before="0" w:after="0"/>
        <w:ind w:left="910" w:right="114" w:hanging="432"/>
        <w:jc w:val="both"/>
      </w:pPr>
      <w:r>
        <w:t xml:space="preserve">iepriekš definētus blokus — viena tipa stundas, pusstundas vai ceturtdaļstundas līgumu apkopojumus. </w:t>
      </w:r>
      <w:r>
        <w:t>Iepriekš definētajos blokos apvienoti vairāki (kā minimums divi) viena tipa blakusesošie līgumi, kas jāizpilda kopā;</w:t>
      </w:r>
    </w:p>
    <w:p>
      <w:pPr>
        <w:pStyle w:val="BodyText"/>
        <w:numPr>
          <w:ilvl w:val="1"/>
          <w:numId w:val="6"/>
        </w:numPr>
        <w:tabs>
          <w:tab w:pos="910" w:val="left" w:leader="none"/>
        </w:tabs>
        <w:spacing w:line="276" w:lineRule="auto" w:before="0" w:after="0"/>
        <w:ind w:left="910" w:right="114" w:hanging="432"/>
        <w:jc w:val="both"/>
      </w:pPr>
      <w:r>
        <w:t xml:space="preserve">lietotāju definētus blokus: atšķirībā no iepriekš noteiktajiem blokiem šīs ir līguma kombinācijas pēc pieprasījuma, ko definē lietotājs. </w:t>
      </w:r>
      <w:r>
        <w:t>Lietotāja definēto bloku (lietotāja definēto tirgus līgumu) piegādes periodam vienmēr jābūt izpildāmam, izmantojot vairākus produkta parastos tirgus līgumus un nodrošinot secīgu piegādes laiku.</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80" w:lineRule="exact" w:before="1"/>
        <w:rPr>
          <w:sz w:val="28"/>
          <w:szCs w:val="28"/>
        </w:rPr>
      </w:pPr>
    </w:p>
    <w:p>
      <w:pPr>
        <w:pStyle w:val="BodyText"/>
        <w:numPr>
          <w:ilvl w:val="0"/>
          <w:numId w:val="6"/>
        </w:numPr>
        <w:tabs>
          <w:tab w:pos="478" w:val="left" w:leader="none"/>
        </w:tabs>
        <w:spacing w:line="240" w:lineRule="auto" w:before="0" w:after="0"/>
        <w:ind w:left="478" w:right="0" w:hanging="360"/>
        <w:jc w:val="left"/>
      </w:pPr>
      <w:r>
        <w:t>Pastāvīgās tirdzniecības saskaņošanas algoritms atbalsta šādus pasūtījumu tipus:</w:t>
      </w:r>
    </w:p>
    <w:p>
      <w:pPr>
        <w:pStyle w:val="BodyText"/>
        <w:numPr>
          <w:ilvl w:val="1"/>
          <w:numId w:val="6"/>
        </w:numPr>
        <w:tabs>
          <w:tab w:pos="910" w:val="left" w:leader="none"/>
        </w:tabs>
        <w:spacing w:line="276" w:lineRule="auto" w:before="36" w:after="0"/>
        <w:ind w:left="910" w:right="114" w:hanging="432"/>
        <w:jc w:val="both"/>
      </w:pPr>
      <w:r>
        <w:t xml:space="preserve">parastie pasūtījumi (jeb ierobežotie pasūtījumi): </w:t>
      </w:r>
      <w:r>
        <w:t xml:space="preserve">pirkšanas vai pārdošanas pasūtījumi ar noteiktu daudzumu un cenu, kuros pirkšanas pasūtījumus var izpildīt par noteikto vai zemāku cenu, un pārdošanas pasūtījumus var izpildīt par noteikto vai augstāku cenu. </w:t>
      </w:r>
      <w:r>
        <w:t xml:space="preserve">Parastos pasūtījumus var izpildīt daļēji (daļējs daudzums) vai pilnībā (pilns daudzums). </w:t>
      </w:r>
      <w:r>
        <w:t xml:space="preserve">Parastos pasūtījumus iepriekš definētajam tirgum var ievadīt ar izpildes ierobežojumiem NON, FOK vai IOC. </w:t>
      </w:r>
      <w:r>
        <w:t xml:space="preserve">Parastajiem pasūtījumiem lietotāja definētajā tirgū vienmēr ir izpildes ierobežojums AON. </w:t>
      </w:r>
      <w:r>
        <w:t>Visus parastos pasūtījumus var ievadīt ar derīguma ierobežojumiem GFS un GTD;</w:t>
      </w:r>
    </w:p>
    <w:p>
      <w:pPr>
        <w:pStyle w:val="BodyText"/>
        <w:numPr>
          <w:ilvl w:val="1"/>
          <w:numId w:val="6"/>
        </w:numPr>
        <w:tabs>
          <w:tab w:pos="910" w:val="left" w:leader="none"/>
        </w:tabs>
        <w:spacing w:line="276" w:lineRule="auto" w:before="0" w:after="0"/>
        <w:ind w:left="910" w:right="115" w:hanging="432"/>
        <w:jc w:val="both"/>
      </w:pPr>
      <w:r>
        <w:t xml:space="preserve">saistītie pasūtījumi: saistīto pasūtījumu iesniegšanas gadījumā visus pasūtījumus var pilnībā izpildīt vai arī netiks izpildīts neviens pasūtījums. </w:t>
      </w:r>
      <w:r>
        <w:t>Pasūtījumu grupu var iesniegt ar šo iesniegšanas ierobežojumu tikai tad, ja tas ietver pasūtījumus tikai ar izpildes ierobežojumu FOK un ja visi pasūtījumi tika ievadīti vienam NETO;</w:t>
      </w:r>
    </w:p>
    <w:p>
      <w:pPr>
        <w:pStyle w:val="BodyText"/>
        <w:numPr>
          <w:ilvl w:val="1"/>
          <w:numId w:val="6"/>
        </w:numPr>
        <w:tabs>
          <w:tab w:pos="910" w:val="left" w:leader="none"/>
        </w:tabs>
        <w:spacing w:line="276" w:lineRule="auto" w:before="0" w:after="0"/>
        <w:ind w:left="910" w:right="113" w:hanging="432"/>
        <w:jc w:val="both"/>
      </w:pPr>
      <w:r>
        <w:t xml:space="preserve">aisberga pasūtījumi ir ierobežoti pasūtījumi, kas redzami tikai ar daļu tā kopējā daudzuma tirgū, savukārt to pilnais daudzums tiek atklāts tirgū salīdzināšanas nolūkā. </w:t>
      </w:r>
      <w:r>
        <w:t>Daļu slēptā</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after="0" w:line="276" w:lineRule="auto"/>
        <w:jc w:val="both"/>
        <w:sectPr>
          <w:pgSz w:w="11910" w:h="16840"/>
          <w:pgMar w:top="1080" w:bottom="280" w:left="1680" w:right="1680"/>
        </w:sectPr>
      </w:pPr>
    </w:p>
    <w:p>
      <w:pPr>
        <w:pStyle w:val="BodyText"/>
        <w:spacing w:line="276" w:lineRule="auto" w:before="38"/>
        <w:ind w:right="0" w:firstLine="0"/>
        <w:jc w:val="left"/>
      </w:pPr>
      <w:r>
        <w:t>daudzuma izpauž tirdzniecībai, tiklīdz jau izpaustā daļa ir izpildīta.</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80" w:lineRule="exact" w:before="1"/>
        <w:rPr>
          <w:sz w:val="28"/>
          <w:szCs w:val="28"/>
        </w:rPr>
      </w:pPr>
    </w:p>
    <w:p>
      <w:pPr>
        <w:pStyle w:val="BodyText"/>
        <w:numPr>
          <w:ilvl w:val="0"/>
          <w:numId w:val="6"/>
        </w:numPr>
        <w:tabs>
          <w:tab w:pos="478" w:val="left" w:leader="none"/>
        </w:tabs>
        <w:spacing w:line="276" w:lineRule="auto" w:before="0" w:after="0"/>
        <w:ind w:left="478" w:right="121" w:hanging="360"/>
        <w:jc w:val="both"/>
      </w:pPr>
      <w:r>
        <w:t>Pastāvīgās tirdzniecības algoritms atbalsta šādus pasūtījumu izpildes ierobežojumus:</w:t>
      </w:r>
    </w:p>
    <w:p>
      <w:pPr>
        <w:pStyle w:val="BodyText"/>
        <w:numPr>
          <w:ilvl w:val="1"/>
          <w:numId w:val="6"/>
        </w:numPr>
        <w:tabs>
          <w:tab w:pos="910" w:val="left" w:leader="none"/>
        </w:tabs>
        <w:spacing w:line="276" w:lineRule="auto" w:before="0" w:after="0"/>
        <w:ind w:left="910" w:right="119" w:hanging="432"/>
        <w:jc w:val="both"/>
      </w:pPr>
      <w:r>
        <w:t xml:space="preserve">NON — pasūtījums, kas iesniegts ar izpildes ierobežojumu NON, tiek izpildīts nekavējoties vai, ja pasūtījumu nevar uzreiz salīdzināt, to ievada pasūtījumu reģistrā. </w:t>
      </w:r>
      <w:r>
        <w:t>Ir atļauta daļēja pasūtījumu izpilde, un NON pasūtījumus var saskaņot ar vairākiem citiem pasūtījumiem, kā arī izveidot vairākus tirdzniecības piedāvājumus;</w:t>
      </w:r>
    </w:p>
    <w:p>
      <w:pPr>
        <w:pStyle w:val="BodyText"/>
        <w:numPr>
          <w:ilvl w:val="1"/>
          <w:numId w:val="6"/>
        </w:numPr>
        <w:tabs>
          <w:tab w:pos="910" w:val="left" w:leader="none"/>
        </w:tabs>
        <w:spacing w:line="276" w:lineRule="auto" w:before="0" w:after="0"/>
        <w:ind w:left="910" w:right="114" w:hanging="432"/>
        <w:jc w:val="both"/>
      </w:pPr>
      <w:r>
        <w:rPr>
          <w:i w:val="1"/>
        </w:rPr>
        <w:t>Fill or Kill</w:t>
      </w:r>
      <w:r>
        <w:t xml:space="preserve"> (FOK) (pilnībā izpildāms vai atceļams) — pasūtījums vai nu vienā brīdī tiek pārdots uzreiz pēc tā iesniegšanas pilnā apjomā, vai arī tas tiek dzēsts, neievadot pasūtījumu reģistrā. </w:t>
      </w:r>
      <w:r>
        <w:t xml:space="preserve">FOK pasūtījumus var saskaņot ar vairākiem pasūtījumu reģistrā esošiem pasūtījumiem. </w:t>
      </w:r>
      <w:r>
        <w:t>FOK pasūtījumiem nevar būt derīguma ierobežojumi;</w:t>
      </w:r>
    </w:p>
    <w:p>
      <w:pPr>
        <w:pStyle w:val="BodyText"/>
        <w:numPr>
          <w:ilvl w:val="1"/>
          <w:numId w:val="6"/>
        </w:numPr>
        <w:tabs>
          <w:tab w:pos="910" w:val="left" w:leader="none"/>
        </w:tabs>
        <w:spacing w:line="276" w:lineRule="auto" w:before="0" w:after="0"/>
        <w:ind w:left="910" w:right="118" w:hanging="432"/>
        <w:jc w:val="both"/>
      </w:pPr>
      <w:r>
        <w:rPr>
          <w:i w:val="1"/>
        </w:rPr>
        <w:t>Immediate or Cancel</w:t>
      </w:r>
      <w:r>
        <w:t xml:space="preserve"> (IOC) (tūlītēji izpildāms vai atceļams) — pasūtījums vai nu vienā brīdī uzreiz pēc tā iesniegšanas tiek pārdots (jebkurā apjomā) vai arī, ja pasūtījumu nevar salīdzināt, tas tiek dzēsts, neievadot pasūtījumu reģistrā. </w:t>
      </w:r>
      <w:r>
        <w:t xml:space="preserve">Ir atļauta daļēja izpilde, un IOC pasūtījumus var saskaņot ar vairākiem citiem pasūtījumiem, kā arī izveidot vairākus tirdzniecības piedāvājumus. </w:t>
      </w:r>
      <w:r>
        <w:t>Pasūtījumam ar izpildes ierobežojumu IOC nevar būt derīguma ierobežojums;</w:t>
      </w:r>
    </w:p>
    <w:p>
      <w:pPr>
        <w:pStyle w:val="BodyText"/>
        <w:numPr>
          <w:ilvl w:val="1"/>
          <w:numId w:val="6"/>
        </w:numPr>
        <w:tabs>
          <w:tab w:pos="910" w:val="left" w:leader="none"/>
        </w:tabs>
        <w:spacing w:line="276" w:lineRule="auto" w:before="0" w:after="0"/>
        <w:ind w:left="910" w:right="119" w:hanging="432"/>
        <w:jc w:val="both"/>
      </w:pPr>
      <w:r>
        <w:rPr>
          <w:i w:val="1"/>
        </w:rPr>
        <w:t>All or Nothing</w:t>
      </w:r>
      <w:r>
        <w:t xml:space="preserve"> (AON) (visu vai neko) </w:t>
      </w:r>
      <w:r>
        <w:rPr>
          <w:rFonts w:ascii="Calibri" w:hAnsi="Calibri"/>
        </w:rPr>
        <w:t xml:space="preserve">— </w:t>
      </w:r>
      <w:r>
        <w:t xml:space="preserve">pasūtījums, kas iesniegts ar izpildes ierobežojumu AON, tiek vai nu precīzi saskaņots ar vienu citu pasūtījumu tā pilnā apjomā, vai arī tas tiek ievadīts pasūtījumu reģistrā. </w:t>
      </w:r>
      <w:r>
        <w:t xml:space="preserve">Daļēja izpilde nav atļauta. </w:t>
      </w:r>
      <w:r>
        <w:t>Izpildes ierobežojums AON ir atļauts tikai pasūtījumiem lietotāja definētajā tirgū.</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80" w:lineRule="exact" w:before="1"/>
        <w:rPr>
          <w:sz w:val="28"/>
          <w:szCs w:val="28"/>
        </w:rPr>
      </w:pPr>
    </w:p>
    <w:p>
      <w:pPr>
        <w:pStyle w:val="BodyText"/>
        <w:numPr>
          <w:ilvl w:val="0"/>
          <w:numId w:val="6"/>
        </w:numPr>
        <w:tabs>
          <w:tab w:pos="478" w:val="left" w:leader="none"/>
        </w:tabs>
        <w:spacing w:line="240" w:lineRule="auto" w:before="0" w:after="0"/>
        <w:ind w:left="478" w:right="0" w:hanging="360"/>
        <w:jc w:val="left"/>
      </w:pPr>
      <w:r>
        <w:t>Pastāvīgās tirdzniecības saskaņošanas algoritms atbalsta šādus pasūtījumu derīguma ierobežojumus:</w:t>
      </w:r>
    </w:p>
    <w:p>
      <w:pPr>
        <w:pStyle w:val="BodyText"/>
        <w:numPr>
          <w:ilvl w:val="1"/>
          <w:numId w:val="6"/>
        </w:numPr>
        <w:tabs>
          <w:tab w:pos="910" w:val="left" w:leader="none"/>
        </w:tabs>
        <w:spacing w:line="276" w:lineRule="auto" w:before="36" w:after="0"/>
        <w:ind w:left="910" w:right="116" w:hanging="432"/>
        <w:jc w:val="both"/>
      </w:pPr>
      <w:r>
        <w:rPr>
          <w:i w:val="1"/>
        </w:rPr>
        <w:t>Good for session</w:t>
      </w:r>
      <w:r>
        <w:t xml:space="preserve"> (GFS) (derīgs sesijai) </w:t>
      </w:r>
      <w:r>
        <w:rPr>
          <w:rFonts w:ascii="Calibri" w:hAnsi="Calibri"/>
        </w:rPr>
        <w:t xml:space="preserve">— </w:t>
      </w:r>
      <w:r>
        <w:t xml:space="preserve">pasūtījuma derīguma termiņu nosaka attiecīgās pasūtījuma tirdzniecības sesijas derīgums.  </w:t>
      </w:r>
      <w:r>
        <w:t>Pasūtījums tiek automātiski izņemts no tirdzniecības, tiklīdz beidzas definētais attiecīgās tirdzniecības sesijas derīguma termiņš;</w:t>
      </w:r>
    </w:p>
    <w:p>
      <w:pPr>
        <w:pStyle w:val="BodyText"/>
        <w:numPr>
          <w:ilvl w:val="1"/>
          <w:numId w:val="6"/>
        </w:numPr>
        <w:tabs>
          <w:tab w:pos="910" w:val="left" w:leader="none"/>
        </w:tabs>
        <w:spacing w:line="276" w:lineRule="auto" w:before="0" w:after="0"/>
        <w:ind w:left="910" w:right="113" w:hanging="432"/>
        <w:jc w:val="both"/>
      </w:pPr>
      <w:r>
        <w:rPr>
          <w:i w:val="1"/>
        </w:rPr>
        <w:t>Good till date</w:t>
      </w:r>
      <w:r>
        <w:t xml:space="preserve"> (GTD) (derīgs līdz noteiktam datumam) </w:t>
      </w:r>
      <w:r>
        <w:rPr>
          <w:rFonts w:ascii="Calibri" w:hAnsi="Calibri"/>
        </w:rPr>
        <w:t xml:space="preserve">— </w:t>
      </w:r>
      <w:r>
        <w:t xml:space="preserve">pasūtījuma derīguma termiņu definē ar datumu un laiku. </w:t>
      </w:r>
      <w:r>
        <w:t>Pasūtījums tiek automātiski izņemts no tirdzniecības, tiklīdz beidzas definētais derīguma termiņš.</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80" w:lineRule="exact" w:before="1"/>
        <w:rPr>
          <w:sz w:val="28"/>
          <w:szCs w:val="28"/>
        </w:rPr>
      </w:pPr>
    </w:p>
    <w:p>
      <w:pPr>
        <w:pStyle w:val="BodyText"/>
        <w:numPr>
          <w:ilvl w:val="0"/>
          <w:numId w:val="6"/>
        </w:numPr>
        <w:tabs>
          <w:tab w:pos="478" w:val="left" w:leader="none"/>
        </w:tabs>
        <w:spacing w:line="276" w:lineRule="auto" w:before="0" w:after="0"/>
        <w:ind w:left="478" w:right="118" w:hanging="360"/>
        <w:jc w:val="both"/>
      </w:pPr>
      <w:r>
        <w:t>Diennakts tirdzniecības sistēma automātiski ģenerē tirgojamo preču līgumus, pamatojoties uz produkta definīciju.</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80" w:lineRule="exact" w:before="1"/>
        <w:rPr>
          <w:sz w:val="28"/>
          <w:szCs w:val="28"/>
        </w:rPr>
      </w:pPr>
    </w:p>
    <w:p>
      <w:pPr>
        <w:pStyle w:val="BodyText"/>
        <w:numPr>
          <w:ilvl w:val="0"/>
          <w:numId w:val="6"/>
        </w:numPr>
        <w:tabs>
          <w:tab w:pos="478" w:val="left" w:leader="none"/>
        </w:tabs>
        <w:spacing w:line="276" w:lineRule="auto" w:before="0" w:after="0"/>
        <w:ind w:left="478" w:right="117" w:hanging="360"/>
        <w:jc w:val="both"/>
      </w:pPr>
      <w:r>
        <w:t>Laika maiņa vasarā un ziemā (23 un 25 stundas) tiek ieviesta diennakts sasaistes produktu gadījumā.</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80" w:lineRule="exact" w:before="1"/>
        <w:rPr>
          <w:sz w:val="28"/>
          <w:szCs w:val="28"/>
        </w:rPr>
      </w:pPr>
    </w:p>
    <w:p>
      <w:pPr>
        <w:pStyle w:val="BodyText"/>
        <w:numPr>
          <w:ilvl w:val="0"/>
          <w:numId w:val="6"/>
        </w:numPr>
        <w:tabs>
          <w:tab w:pos="478" w:val="left" w:leader="none"/>
        </w:tabs>
        <w:spacing w:line="276" w:lineRule="auto" w:before="0" w:after="0"/>
        <w:ind w:left="478" w:right="125" w:hanging="360"/>
        <w:jc w:val="both"/>
      </w:pPr>
      <w:r>
        <w:t>Produkti tiek padarīti pieejami tirdzniecībai katrā piegādes zonā, tādējādi katrai piegādes teritorijai var būt atsevišķs tirgojamo līgumu kopums.</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40" w:lineRule="exact" w:before="4"/>
        <w:rPr>
          <w:sz w:val="24"/>
          <w:szCs w:val="24"/>
        </w:rPr>
      </w:pPr>
    </w:p>
    <w:p>
      <w:pPr>
        <w:pStyle w:val="BodyText"/>
        <w:numPr>
          <w:ilvl w:val="0"/>
          <w:numId w:val="6"/>
        </w:numPr>
        <w:tabs>
          <w:tab w:pos="478" w:val="left" w:leader="none"/>
        </w:tabs>
        <w:spacing w:line="240" w:lineRule="auto" w:before="0" w:after="0"/>
        <w:ind w:left="478" w:right="0" w:hanging="360"/>
        <w:jc w:val="left"/>
      </w:pPr>
      <w:r>
        <w:t>Visi tirdzniecību atbalstošie produkti norādīti eiro un megavatos (MW).</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Pr>
        <w:spacing w:line="260" w:lineRule="exact" w:before="19"/>
        <w:rPr>
          <w:sz w:val="26"/>
          <w:szCs w:val="26"/>
        </w:rPr>
      </w:pPr>
    </w:p>
    <w:p>
      <w:pPr>
        <w:pStyle w:val="BodyText"/>
        <w:numPr>
          <w:ilvl w:val="0"/>
          <w:numId w:val="6"/>
        </w:numPr>
        <w:tabs>
          <w:tab w:pos="478" w:val="left" w:leader="none"/>
        </w:tabs>
        <w:spacing w:line="276" w:lineRule="auto" w:before="0" w:after="0"/>
        <w:ind w:left="478" w:right="123" w:hanging="360"/>
        <w:jc w:val="both"/>
      </w:pPr>
      <w:r>
        <w:t>Jebkura atsevišķa produkta lietojums un parametrizācija ir katra atsevišķā NETO lēmums, uz ko, ciktāl tas ietekmē algoritma veiktspēju, attiecas saskaņā ar algoritmu priekšlikumu izveidotās izmaiņu vadības procedūras piemērošana.</w:t>
      </w:r>
    </w:p>
    <w:sectP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gSz w:w="11910" w:h="16840"/>
      <w:pgMar w:top="10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 w:name="Calibri">
    <w:altName w:val="Calibri"/>
    <w:charset w:val="BA"/>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478" w:hanging="360"/>
        <w:jc w:val="left"/>
      </w:pPr>
      <w:rPr>
        <w:rFonts w:hint="default" w:ascii="Calibri" w:hAnsi="Calibri" w:eastAsia="Calibri"/>
        <w:w w:val="99"/>
        <w:sz w:val="20"/>
        <w:szCs w:val="20"/>
      </w:rPr>
    </w:lvl>
    <w:lvl w:ilvl="1">
      <w:start w:val="1"/>
      <w:numFmt w:val="lowerLetter"/>
      <w:lvlText w:val="%2)"/>
      <w:lvlJc w:val="left"/>
      <w:pPr>
        <w:ind w:left="910" w:hanging="432"/>
        <w:jc w:val="left"/>
      </w:pPr>
      <w:rPr>
        <w:rFonts w:hint="default" w:ascii="Calibri" w:hAnsi="Calibri" w:eastAsia="Calibri"/>
        <w:w w:val="99"/>
        <w:sz w:val="20"/>
        <w:szCs w:val="20"/>
      </w:rPr>
    </w:lvl>
    <w:lvl w:ilvl="2">
      <w:start w:val="1"/>
      <w:numFmt w:val="bullet"/>
      <w:lvlText w:val="•"/>
      <w:lvlJc w:val="left"/>
      <w:pPr>
        <w:ind w:left="1758" w:hanging="432"/>
      </w:pPr>
      <w:rPr>
        <w:rFonts w:hint="default"/>
      </w:rPr>
    </w:lvl>
    <w:lvl w:ilvl="3">
      <w:start w:val="1"/>
      <w:numFmt w:val="bullet"/>
      <w:lvlText w:val="•"/>
      <w:lvlJc w:val="left"/>
      <w:pPr>
        <w:ind w:left="2606" w:hanging="432"/>
      </w:pPr>
      <w:rPr>
        <w:rFonts w:hint="default"/>
      </w:rPr>
    </w:lvl>
    <w:lvl w:ilvl="4">
      <w:start w:val="1"/>
      <w:numFmt w:val="bullet"/>
      <w:lvlText w:val="•"/>
      <w:lvlJc w:val="left"/>
      <w:pPr>
        <w:ind w:left="3455" w:hanging="432"/>
      </w:pPr>
      <w:rPr>
        <w:rFonts w:hint="default"/>
      </w:rPr>
    </w:lvl>
    <w:lvl w:ilvl="5">
      <w:start w:val="1"/>
      <w:numFmt w:val="bullet"/>
      <w:lvlText w:val="•"/>
      <w:lvlJc w:val="left"/>
      <w:pPr>
        <w:ind w:left="4303" w:hanging="432"/>
      </w:pPr>
      <w:rPr>
        <w:rFonts w:hint="default"/>
      </w:rPr>
    </w:lvl>
    <w:lvl w:ilvl="6">
      <w:start w:val="1"/>
      <w:numFmt w:val="bullet"/>
      <w:lvlText w:val="•"/>
      <w:lvlJc w:val="left"/>
      <w:pPr>
        <w:ind w:left="5152" w:hanging="432"/>
      </w:pPr>
      <w:rPr>
        <w:rFonts w:hint="default"/>
      </w:rPr>
    </w:lvl>
    <w:lvl w:ilvl="7">
      <w:start w:val="1"/>
      <w:numFmt w:val="bullet"/>
      <w:lvlText w:val="•"/>
      <w:lvlJc w:val="left"/>
      <w:pPr>
        <w:ind w:left="6000" w:hanging="432"/>
      </w:pPr>
      <w:rPr>
        <w:rFonts w:hint="default"/>
      </w:rPr>
    </w:lvl>
    <w:lvl w:ilvl="8">
      <w:start w:val="1"/>
      <w:numFmt w:val="bullet"/>
      <w:lvlText w:val="•"/>
      <w:lvlJc w:val="left"/>
      <w:pPr>
        <w:ind w:left="6849" w:hanging="432"/>
      </w:pPr>
      <w:rPr>
        <w:rFonts w:hint="default"/>
      </w:rPr>
    </w:lvl>
  </w:abstractNum>
  <w:abstractNum w:abstractNumId="4">
    <w:multiLevelType w:val="hybridMultilevel"/>
    <w:lvl w:ilvl="0">
      <w:start w:val="1"/>
      <w:numFmt w:val="decimal"/>
      <w:lvlText w:val="%1."/>
      <w:lvlJc w:val="left"/>
      <w:pPr>
        <w:ind w:left="478" w:hanging="360"/>
        <w:jc w:val="left"/>
      </w:pPr>
      <w:rPr>
        <w:rFonts w:hint="default" w:ascii="Calibri" w:hAnsi="Calibri" w:eastAsia="Calibri"/>
        <w:w w:val="99"/>
        <w:sz w:val="20"/>
        <w:szCs w:val="20"/>
      </w:rPr>
    </w:lvl>
    <w:lvl w:ilvl="1">
      <w:start w:val="1"/>
      <w:numFmt w:val="bullet"/>
      <w:lvlText w:val="•"/>
      <w:lvlJc w:val="left"/>
      <w:pPr>
        <w:ind w:left="1284" w:hanging="360"/>
      </w:pPr>
      <w:rPr>
        <w:rFonts w:hint="default"/>
      </w:rPr>
    </w:lvl>
    <w:lvl w:ilvl="2">
      <w:start w:val="1"/>
      <w:numFmt w:val="bullet"/>
      <w:lvlText w:val="•"/>
      <w:lvlJc w:val="left"/>
      <w:pPr>
        <w:ind w:left="2091" w:hanging="360"/>
      </w:pPr>
      <w:rPr>
        <w:rFonts w:hint="default"/>
      </w:rPr>
    </w:lvl>
    <w:lvl w:ilvl="3">
      <w:start w:val="1"/>
      <w:numFmt w:val="bullet"/>
      <w:lvlText w:val="•"/>
      <w:lvlJc w:val="left"/>
      <w:pPr>
        <w:ind w:left="2898" w:hanging="360"/>
      </w:pPr>
      <w:rPr>
        <w:rFonts w:hint="default"/>
      </w:rPr>
    </w:lvl>
    <w:lvl w:ilvl="4">
      <w:start w:val="1"/>
      <w:numFmt w:val="bullet"/>
      <w:lvlText w:val="•"/>
      <w:lvlJc w:val="left"/>
      <w:pPr>
        <w:ind w:left="3705" w:hanging="360"/>
      </w:pPr>
      <w:rPr>
        <w:rFonts w:hint="default"/>
      </w:rPr>
    </w:lvl>
    <w:lvl w:ilvl="5">
      <w:start w:val="1"/>
      <w:numFmt w:val="bullet"/>
      <w:lvlText w:val="•"/>
      <w:lvlJc w:val="left"/>
      <w:pPr>
        <w:ind w:left="4512" w:hanging="360"/>
      </w:pPr>
      <w:rPr>
        <w:rFonts w:hint="default"/>
      </w:rPr>
    </w:lvl>
    <w:lvl w:ilvl="6">
      <w:start w:val="1"/>
      <w:numFmt w:val="bullet"/>
      <w:lvlText w:val="•"/>
      <w:lvlJc w:val="left"/>
      <w:pPr>
        <w:ind w:left="5319" w:hanging="360"/>
      </w:pPr>
      <w:rPr>
        <w:rFonts w:hint="default"/>
      </w:rPr>
    </w:lvl>
    <w:lvl w:ilvl="7">
      <w:start w:val="1"/>
      <w:numFmt w:val="bullet"/>
      <w:lvlText w:val="•"/>
      <w:lvlJc w:val="left"/>
      <w:pPr>
        <w:ind w:left="6125" w:hanging="360"/>
      </w:pPr>
      <w:rPr>
        <w:rFonts w:hint="default"/>
      </w:rPr>
    </w:lvl>
    <w:lvl w:ilvl="8">
      <w:start w:val="1"/>
      <w:numFmt w:val="bullet"/>
      <w:lvlText w:val="•"/>
      <w:lvlJc w:val="left"/>
      <w:pPr>
        <w:ind w:left="6932" w:hanging="360"/>
      </w:pPr>
      <w:rPr>
        <w:rFonts w:hint="default"/>
      </w:rPr>
    </w:lvl>
  </w:abstractNum>
  <w:abstractNum w:abstractNumId="3">
    <w:multiLevelType w:val="hybridMultilevel"/>
    <w:lvl w:ilvl="0">
      <w:start w:val="1"/>
      <w:numFmt w:val="decimal"/>
      <w:lvlText w:val="%1."/>
      <w:lvlJc w:val="left"/>
      <w:pPr>
        <w:ind w:left="1198" w:hanging="360"/>
        <w:jc w:val="left"/>
      </w:pPr>
      <w:rPr>
        <w:rFonts w:hint="default" w:ascii="Calibri" w:hAnsi="Calibri" w:eastAsia="Calibri"/>
        <w:w w:val="99"/>
        <w:sz w:val="20"/>
        <w:szCs w:val="20"/>
      </w:rPr>
    </w:lvl>
    <w:lvl w:ilvl="1">
      <w:start w:val="1"/>
      <w:numFmt w:val="bullet"/>
      <w:lvlText w:val="•"/>
      <w:lvlJc w:val="left"/>
      <w:pPr>
        <w:ind w:left="1932" w:hanging="360"/>
      </w:pPr>
      <w:rPr>
        <w:rFonts w:hint="default"/>
      </w:rPr>
    </w:lvl>
    <w:lvl w:ilvl="2">
      <w:start w:val="1"/>
      <w:numFmt w:val="bullet"/>
      <w:lvlText w:val="•"/>
      <w:lvlJc w:val="left"/>
      <w:pPr>
        <w:ind w:left="2667" w:hanging="360"/>
      </w:pPr>
      <w:rPr>
        <w:rFonts w:hint="default"/>
      </w:rPr>
    </w:lvl>
    <w:lvl w:ilvl="3">
      <w:start w:val="1"/>
      <w:numFmt w:val="bullet"/>
      <w:lvlText w:val="•"/>
      <w:lvlJc w:val="left"/>
      <w:pPr>
        <w:ind w:left="3402" w:hanging="360"/>
      </w:pPr>
      <w:rPr>
        <w:rFonts w:hint="default"/>
      </w:rPr>
    </w:lvl>
    <w:lvl w:ilvl="4">
      <w:start w:val="1"/>
      <w:numFmt w:val="bullet"/>
      <w:lvlText w:val="•"/>
      <w:lvlJc w:val="left"/>
      <w:pPr>
        <w:ind w:left="4137" w:hanging="360"/>
      </w:pPr>
      <w:rPr>
        <w:rFonts w:hint="default"/>
      </w:rPr>
    </w:lvl>
    <w:lvl w:ilvl="5">
      <w:start w:val="1"/>
      <w:numFmt w:val="bullet"/>
      <w:lvlText w:val="•"/>
      <w:lvlJc w:val="left"/>
      <w:pPr>
        <w:ind w:left="4872" w:hanging="360"/>
      </w:pPr>
      <w:rPr>
        <w:rFonts w:hint="default"/>
      </w:rPr>
    </w:lvl>
    <w:lvl w:ilvl="6">
      <w:start w:val="1"/>
      <w:numFmt w:val="bullet"/>
      <w:lvlText w:val="•"/>
      <w:lvlJc w:val="left"/>
      <w:pPr>
        <w:ind w:left="5607" w:hanging="360"/>
      </w:pPr>
      <w:rPr>
        <w:rFonts w:hint="default"/>
      </w:rPr>
    </w:lvl>
    <w:lvl w:ilvl="7">
      <w:start w:val="1"/>
      <w:numFmt w:val="bullet"/>
      <w:lvlText w:val="•"/>
      <w:lvlJc w:val="left"/>
      <w:pPr>
        <w:ind w:left="6341" w:hanging="360"/>
      </w:pPr>
      <w:rPr>
        <w:rFonts w:hint="default"/>
      </w:rPr>
    </w:lvl>
    <w:lvl w:ilvl="8">
      <w:start w:val="1"/>
      <w:numFmt w:val="bullet"/>
      <w:lvlText w:val="•"/>
      <w:lvlJc w:val="left"/>
      <w:pPr>
        <w:ind w:left="7076" w:hanging="360"/>
      </w:pPr>
      <w:rPr>
        <w:rFonts w:hint="default"/>
      </w:rPr>
    </w:lvl>
  </w:abstractNum>
  <w:abstractNum w:abstractNumId="2">
    <w:multiLevelType w:val="hybridMultilevel"/>
    <w:lvl w:ilvl="0">
      <w:start w:val="1"/>
      <w:numFmt w:val="lowerLetter"/>
      <w:lvlText w:val="%1."/>
      <w:lvlJc w:val="left"/>
      <w:pPr>
        <w:ind w:left="1558" w:hanging="360"/>
        <w:jc w:val="left"/>
      </w:pPr>
      <w:rPr>
        <w:rFonts w:hint="default" w:ascii="Calibri" w:hAnsi="Calibri" w:eastAsia="Calibri"/>
        <w:w w:val="99"/>
        <w:sz w:val="20"/>
        <w:szCs w:val="20"/>
      </w:rPr>
    </w:lvl>
    <w:lvl w:ilvl="1">
      <w:start w:val="1"/>
      <w:numFmt w:val="bullet"/>
      <w:lvlText w:val="•"/>
      <w:lvlJc w:val="left"/>
      <w:pPr>
        <w:ind w:left="2256" w:hanging="360"/>
      </w:pPr>
      <w:rPr>
        <w:rFonts w:hint="default"/>
      </w:rPr>
    </w:lvl>
    <w:lvl w:ilvl="2">
      <w:start w:val="1"/>
      <w:numFmt w:val="bullet"/>
      <w:lvlText w:val="•"/>
      <w:lvlJc w:val="left"/>
      <w:pPr>
        <w:ind w:left="2955" w:hanging="360"/>
      </w:pPr>
      <w:rPr>
        <w:rFonts w:hint="default"/>
      </w:rPr>
    </w:lvl>
    <w:lvl w:ilvl="3">
      <w:start w:val="1"/>
      <w:numFmt w:val="bullet"/>
      <w:lvlText w:val="•"/>
      <w:lvlJc w:val="left"/>
      <w:pPr>
        <w:ind w:left="3654" w:hanging="360"/>
      </w:pPr>
      <w:rPr>
        <w:rFonts w:hint="default"/>
      </w:rPr>
    </w:lvl>
    <w:lvl w:ilvl="4">
      <w:start w:val="1"/>
      <w:numFmt w:val="bullet"/>
      <w:lvlText w:val="•"/>
      <w:lvlJc w:val="left"/>
      <w:pPr>
        <w:ind w:left="4353" w:hanging="360"/>
      </w:pPr>
      <w:rPr>
        <w:rFonts w:hint="default"/>
      </w:rPr>
    </w:lvl>
    <w:lvl w:ilvl="5">
      <w:start w:val="1"/>
      <w:numFmt w:val="bullet"/>
      <w:lvlText w:val="•"/>
      <w:lvlJc w:val="left"/>
      <w:pPr>
        <w:ind w:left="5052" w:hanging="360"/>
      </w:pPr>
      <w:rPr>
        <w:rFonts w:hint="default"/>
      </w:rPr>
    </w:lvl>
    <w:lvl w:ilvl="6">
      <w:start w:val="1"/>
      <w:numFmt w:val="bullet"/>
      <w:lvlText w:val="•"/>
      <w:lvlJc w:val="left"/>
      <w:pPr>
        <w:ind w:left="5751" w:hanging="360"/>
      </w:pPr>
      <w:rPr>
        <w:rFonts w:hint="default"/>
      </w:rPr>
    </w:lvl>
    <w:lvl w:ilvl="7">
      <w:start w:val="1"/>
      <w:numFmt w:val="bullet"/>
      <w:lvlText w:val="•"/>
      <w:lvlJc w:val="left"/>
      <w:pPr>
        <w:ind w:left="6449" w:hanging="360"/>
      </w:pPr>
      <w:rPr>
        <w:rFonts w:hint="default"/>
      </w:rPr>
    </w:lvl>
    <w:lvl w:ilvl="8">
      <w:start w:val="1"/>
      <w:numFmt w:val="bullet"/>
      <w:lvlText w:val="•"/>
      <w:lvlJc w:val="left"/>
      <w:pPr>
        <w:ind w:left="7148" w:hanging="360"/>
      </w:pPr>
      <w:rPr>
        <w:rFonts w:hint="default"/>
      </w:rPr>
    </w:lvl>
  </w:abstractNum>
  <w:abstractNum w:abstractNumId="1">
    <w:multiLevelType w:val="hybridMultilevel"/>
    <w:lvl w:ilvl="0">
      <w:start w:val="1"/>
      <w:numFmt w:val="decimal"/>
      <w:lvlText w:val="(%1)"/>
      <w:lvlJc w:val="left"/>
      <w:pPr>
        <w:ind w:left="910" w:hanging="432"/>
        <w:jc w:val="left"/>
      </w:pPr>
      <w:rPr>
        <w:rFonts w:hint="default" w:ascii="Calibri" w:hAnsi="Calibri" w:eastAsia="Calibri"/>
        <w:w w:val="99"/>
        <w:sz w:val="20"/>
        <w:szCs w:val="20"/>
      </w:rPr>
    </w:lvl>
    <w:lvl w:ilvl="1">
      <w:start w:val="1"/>
      <w:numFmt w:val="lowerLetter"/>
      <w:lvlText w:val="%2)"/>
      <w:lvlJc w:val="left"/>
      <w:pPr>
        <w:ind w:left="1342" w:hanging="504"/>
        <w:jc w:val="left"/>
      </w:pPr>
      <w:rPr>
        <w:rFonts w:hint="default" w:ascii="Calibri" w:hAnsi="Calibri" w:eastAsia="Calibri"/>
        <w:w w:val="99"/>
        <w:sz w:val="20"/>
        <w:szCs w:val="20"/>
      </w:rPr>
    </w:lvl>
    <w:lvl w:ilvl="2">
      <w:start w:val="1"/>
      <w:numFmt w:val="bullet"/>
      <w:lvlText w:val="•"/>
      <w:lvlJc w:val="left"/>
      <w:pPr>
        <w:ind w:left="2142" w:hanging="504"/>
      </w:pPr>
      <w:rPr>
        <w:rFonts w:hint="default"/>
      </w:rPr>
    </w:lvl>
    <w:lvl w:ilvl="3">
      <w:start w:val="1"/>
      <w:numFmt w:val="bullet"/>
      <w:lvlText w:val="•"/>
      <w:lvlJc w:val="left"/>
      <w:pPr>
        <w:ind w:left="2942" w:hanging="504"/>
      </w:pPr>
      <w:rPr>
        <w:rFonts w:hint="default"/>
      </w:rPr>
    </w:lvl>
    <w:lvl w:ilvl="4">
      <w:start w:val="1"/>
      <w:numFmt w:val="bullet"/>
      <w:lvlText w:val="•"/>
      <w:lvlJc w:val="left"/>
      <w:pPr>
        <w:ind w:left="3743" w:hanging="504"/>
      </w:pPr>
      <w:rPr>
        <w:rFonts w:hint="default"/>
      </w:rPr>
    </w:lvl>
    <w:lvl w:ilvl="5">
      <w:start w:val="1"/>
      <w:numFmt w:val="bullet"/>
      <w:lvlText w:val="•"/>
      <w:lvlJc w:val="left"/>
      <w:pPr>
        <w:ind w:left="4543" w:hanging="504"/>
      </w:pPr>
      <w:rPr>
        <w:rFonts w:hint="default"/>
      </w:rPr>
    </w:lvl>
    <w:lvl w:ilvl="6">
      <w:start w:val="1"/>
      <w:numFmt w:val="bullet"/>
      <w:lvlText w:val="•"/>
      <w:lvlJc w:val="left"/>
      <w:pPr>
        <w:ind w:left="5344" w:hanging="504"/>
      </w:pPr>
      <w:rPr>
        <w:rFonts w:hint="default"/>
      </w:rPr>
    </w:lvl>
    <w:lvl w:ilvl="7">
      <w:start w:val="1"/>
      <w:numFmt w:val="bullet"/>
      <w:lvlText w:val="•"/>
      <w:lvlJc w:val="left"/>
      <w:pPr>
        <w:ind w:left="6144" w:hanging="504"/>
      </w:pPr>
      <w:rPr>
        <w:rFonts w:hint="default"/>
      </w:rPr>
    </w:lvl>
    <w:lvl w:ilvl="8">
      <w:start w:val="1"/>
      <w:numFmt w:val="bullet"/>
      <w:lvlText w:val="•"/>
      <w:lvlJc w:val="left"/>
      <w:pPr>
        <w:ind w:left="6945" w:hanging="504"/>
      </w:pPr>
      <w:rPr>
        <w:rFonts w:hint="default"/>
      </w:rPr>
    </w:lvl>
  </w:abstractNum>
  <w:abstractNum w:abstractNumId="0">
    <w:multiLevelType w:val="hybridMultilevel"/>
    <w:lvl w:ilvl="0">
      <w:start w:val="1"/>
      <w:numFmt w:val="decimal"/>
      <w:lvlText w:val="(%1)"/>
      <w:lvlJc w:val="left"/>
      <w:pPr>
        <w:ind w:left="910" w:hanging="432"/>
        <w:jc w:val="left"/>
      </w:pPr>
      <w:rPr>
        <w:rFonts w:hint="default" w:ascii="Calibri" w:hAnsi="Calibri" w:eastAsia="Calibri"/>
        <w:w w:val="99"/>
        <w:sz w:val="20"/>
        <w:szCs w:val="20"/>
      </w:rPr>
    </w:lvl>
    <w:lvl w:ilvl="1">
      <w:start w:val="1"/>
      <w:numFmt w:val="bullet"/>
      <w:lvlText w:val="•"/>
      <w:lvlJc w:val="left"/>
      <w:pPr>
        <w:ind w:left="1673" w:hanging="432"/>
      </w:pPr>
      <w:rPr>
        <w:rFonts w:hint="default"/>
      </w:rPr>
    </w:lvl>
    <w:lvl w:ilvl="2">
      <w:start w:val="1"/>
      <w:numFmt w:val="bullet"/>
      <w:lvlText w:val="•"/>
      <w:lvlJc w:val="left"/>
      <w:pPr>
        <w:ind w:left="2437" w:hanging="432"/>
      </w:pPr>
      <w:rPr>
        <w:rFonts w:hint="default"/>
      </w:rPr>
    </w:lvl>
    <w:lvl w:ilvl="3">
      <w:start w:val="1"/>
      <w:numFmt w:val="bullet"/>
      <w:lvlText w:val="•"/>
      <w:lvlJc w:val="left"/>
      <w:pPr>
        <w:ind w:left="3200" w:hanging="432"/>
      </w:pPr>
      <w:rPr>
        <w:rFonts w:hint="default"/>
      </w:rPr>
    </w:lvl>
    <w:lvl w:ilvl="4">
      <w:start w:val="1"/>
      <w:numFmt w:val="bullet"/>
      <w:lvlText w:val="•"/>
      <w:lvlJc w:val="left"/>
      <w:pPr>
        <w:ind w:left="3964" w:hanging="432"/>
      </w:pPr>
      <w:rPr>
        <w:rFonts w:hint="default"/>
      </w:rPr>
    </w:lvl>
    <w:lvl w:ilvl="5">
      <w:start w:val="1"/>
      <w:numFmt w:val="bullet"/>
      <w:lvlText w:val="•"/>
      <w:lvlJc w:val="left"/>
      <w:pPr>
        <w:ind w:left="4728" w:hanging="432"/>
      </w:pPr>
      <w:rPr>
        <w:rFonts w:hint="default"/>
      </w:rPr>
    </w:lvl>
    <w:lvl w:ilvl="6">
      <w:start w:val="1"/>
      <w:numFmt w:val="bullet"/>
      <w:lvlText w:val="•"/>
      <w:lvlJc w:val="left"/>
      <w:pPr>
        <w:ind w:left="5491" w:hanging="432"/>
      </w:pPr>
      <w:rPr>
        <w:rFonts w:hint="default"/>
      </w:rPr>
    </w:lvl>
    <w:lvl w:ilvl="7">
      <w:start w:val="1"/>
      <w:numFmt w:val="bullet"/>
      <w:lvlText w:val="•"/>
      <w:lvlJc w:val="left"/>
      <w:pPr>
        <w:ind w:left="6255" w:hanging="432"/>
      </w:pPr>
      <w:rPr>
        <w:rFonts w:hint="default"/>
      </w:rPr>
    </w:lvl>
    <w:lvl w:ilvl="8">
      <w:start w:val="1"/>
      <w:numFmt w:val="bullet"/>
      <w:lvlText w:val="•"/>
      <w:lvlJc w:val="left"/>
      <w:pPr>
        <w:ind w:left="7019" w:hanging="432"/>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cstheme="minorBidi" w:hAnsiTheme="minorHAnsi" w:eastAsiaTheme="minorHAnsi" w:asciiTheme="minorHAnsi"/>
        <w:sz w:val="22"/>
        <w:szCs w:val="22"/>
        <w:lang w:val="lv-LV" w:bidi="lv-LV" w:eastAsia="lv-LV"/>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910" w:hanging="432"/>
    </w:pPr>
    <w:rPr>
      <w:rFonts w:ascii="Calibri" w:hAnsi="Calibri" w:eastAsia="Calibri"/>
      <w:sz w:val="20"/>
      <w:szCs w:val="20"/>
    </w:rPr>
  </w:style>
  <w:style w:styleId="Heading1" w:type="paragraph">
    <w:name w:val="Heading 1"/>
    <w:basedOn w:val="Normal"/>
    <w:uiPriority w:val="1"/>
    <w:qFormat/>
    <w:pPr>
      <w:outlineLvl w:val="1"/>
    </w:pPr>
    <w:rPr>
      <w:rFonts w:ascii="Calibri" w:hAnsi="Calibri" w:eastAsia="Calibri"/>
      <w:b/>
      <w:bCs/>
      <w:sz w:val="20"/>
      <w:szCs w:val="20"/>
    </w:rPr>
  </w:style>
  <w:style w:styleId="Heading2" w:type="paragraph">
    <w:name w:val="Heading 2"/>
    <w:basedOn w:val="Normal"/>
    <w:uiPriority w:val="1"/>
    <w:qFormat/>
    <w:pPr>
      <w:ind w:left="478"/>
      <w:outlineLvl w:val="2"/>
    </w:pPr>
    <w:rPr>
      <w:rFonts w:ascii="Calibri" w:hAnsi="Calibri" w:eastAsia="Calibri"/>
      <w:b/>
      <w:bCs/>
      <w:i/>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DOUMITH</dc:creator>
  <dcterms:created xsi:type="dcterms:W3CDTF">2017-02-15T11:15:31Z</dcterms:created>
  <dcterms:modified xsi:type="dcterms:W3CDTF">2017-02-15T11:15:31Z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LastSaved">
    <vt:filetime>2017-02-15T00:00:00Z</vt:filetime>
  </property>
</Properties>
</file>