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538C" w:rsidRDefault="0087538C">
      <w:pPr>
        <w:pStyle w:val="Pamatteksts"/>
        <w:rPr>
          <w:sz w:val="20"/>
        </w:rPr>
      </w:pPr>
    </w:p>
    <w:p w:rsidR="0087538C" w:rsidRDefault="0087538C">
      <w:pPr>
        <w:pStyle w:val="Pamatteksts"/>
        <w:rPr>
          <w:sz w:val="20"/>
        </w:rPr>
      </w:pPr>
    </w:p>
    <w:p w:rsidR="0087538C" w:rsidRDefault="0087538C">
      <w:pPr>
        <w:pStyle w:val="Pamatteksts"/>
        <w:rPr>
          <w:sz w:val="20"/>
        </w:rPr>
      </w:pPr>
    </w:p>
    <w:p w:rsidR="0087538C" w:rsidRDefault="0087538C">
      <w:pPr>
        <w:pStyle w:val="Pamatteksts"/>
        <w:rPr>
          <w:sz w:val="20"/>
        </w:rPr>
      </w:pPr>
    </w:p>
    <w:p w:rsidR="0087538C" w:rsidRDefault="0087538C">
      <w:pPr>
        <w:pStyle w:val="Pamatteksts"/>
        <w:rPr>
          <w:sz w:val="20"/>
        </w:rPr>
      </w:pPr>
    </w:p>
    <w:p w:rsidR="0087538C" w:rsidRDefault="0087538C">
      <w:pPr>
        <w:pStyle w:val="Pamatteksts"/>
        <w:rPr>
          <w:sz w:val="20"/>
        </w:rPr>
      </w:pPr>
    </w:p>
    <w:p w:rsidR="0087538C" w:rsidRDefault="0087538C">
      <w:pPr>
        <w:pStyle w:val="Pamatteksts"/>
        <w:rPr>
          <w:sz w:val="20"/>
        </w:rPr>
      </w:pPr>
    </w:p>
    <w:p w:rsidR="0087538C" w:rsidRDefault="0087538C">
      <w:pPr>
        <w:pStyle w:val="Pamatteksts"/>
        <w:rPr>
          <w:sz w:val="20"/>
        </w:rPr>
      </w:pPr>
    </w:p>
    <w:p w:rsidR="0087538C" w:rsidRDefault="0087538C">
      <w:pPr>
        <w:pStyle w:val="Pamatteksts"/>
        <w:spacing w:before="2" w:after="1"/>
        <w:rPr>
          <w:sz w:val="27"/>
        </w:rPr>
      </w:pPr>
    </w:p>
    <w:tbl>
      <w:tblPr>
        <w:tblW w:w="0" w:type="auto"/>
        <w:tblInd w:w="117" w:type="dxa"/>
        <w:tblLayout w:type="fixed"/>
        <w:tblCellMar>
          <w:left w:w="0" w:type="dxa"/>
          <w:right w:w="0" w:type="dxa"/>
        </w:tblCellMar>
        <w:tblLook w:val="01E0" w:firstRow="1" w:lastRow="1" w:firstColumn="1" w:lastColumn="1" w:noHBand="0" w:noVBand="0"/>
      </w:tblPr>
      <w:tblGrid>
        <w:gridCol w:w="7173"/>
      </w:tblGrid>
      <w:tr w:rsidR="0087538C">
        <w:trPr>
          <w:trHeight w:val="5078"/>
        </w:trPr>
        <w:tc>
          <w:tcPr>
            <w:tcW w:w="7173" w:type="dxa"/>
          </w:tcPr>
          <w:p w:rsidR="0087538C" w:rsidRDefault="00851036">
            <w:pPr>
              <w:pStyle w:val="TableParagraph"/>
              <w:spacing w:line="489" w:lineRule="exact"/>
              <w:ind w:left="293"/>
              <w:rPr>
                <w:sz w:val="48"/>
              </w:rPr>
            </w:pPr>
            <w:r>
              <w:rPr>
                <w:sz w:val="48"/>
              </w:rPr>
              <w:t>Estonian and Latvian TSOs of Baltic</w:t>
            </w:r>
          </w:p>
          <w:p w:rsidR="0087538C" w:rsidRDefault="00851036">
            <w:pPr>
              <w:pStyle w:val="TableParagraph"/>
              <w:ind w:left="200" w:right="197" w:firstLine="182"/>
              <w:rPr>
                <w:sz w:val="48"/>
              </w:rPr>
            </w:pPr>
            <w:r>
              <w:rPr>
                <w:spacing w:val="-4"/>
                <w:sz w:val="48"/>
              </w:rPr>
              <w:t xml:space="preserve">CCR </w:t>
            </w:r>
            <w:r>
              <w:rPr>
                <w:spacing w:val="-5"/>
                <w:sz w:val="48"/>
              </w:rPr>
              <w:t xml:space="preserve">TSOs’ </w:t>
            </w:r>
            <w:r>
              <w:rPr>
                <w:spacing w:val="-6"/>
                <w:sz w:val="48"/>
              </w:rPr>
              <w:t xml:space="preserve">Common </w:t>
            </w:r>
            <w:r>
              <w:rPr>
                <w:spacing w:val="-5"/>
                <w:sz w:val="48"/>
              </w:rPr>
              <w:t xml:space="preserve">Methodology </w:t>
            </w:r>
            <w:r>
              <w:rPr>
                <w:spacing w:val="-2"/>
                <w:sz w:val="48"/>
              </w:rPr>
              <w:t xml:space="preserve">for </w:t>
            </w:r>
            <w:r>
              <w:rPr>
                <w:spacing w:val="-3"/>
                <w:sz w:val="48"/>
              </w:rPr>
              <w:t xml:space="preserve">Splitting </w:t>
            </w:r>
            <w:r>
              <w:rPr>
                <w:spacing w:val="-4"/>
                <w:sz w:val="48"/>
              </w:rPr>
              <w:t xml:space="preserve">Long-Term </w:t>
            </w:r>
            <w:r>
              <w:rPr>
                <w:spacing w:val="-5"/>
                <w:sz w:val="48"/>
              </w:rPr>
              <w:t xml:space="preserve">Cross-Zonal </w:t>
            </w:r>
            <w:r>
              <w:rPr>
                <w:spacing w:val="-4"/>
                <w:sz w:val="48"/>
              </w:rPr>
              <w:t xml:space="preserve">Capacity </w:t>
            </w:r>
            <w:r>
              <w:rPr>
                <w:sz w:val="48"/>
              </w:rPr>
              <w:t xml:space="preserve">in </w:t>
            </w:r>
            <w:r>
              <w:rPr>
                <w:spacing w:val="-4"/>
                <w:sz w:val="48"/>
              </w:rPr>
              <w:t xml:space="preserve">Accordance </w:t>
            </w:r>
            <w:r>
              <w:rPr>
                <w:spacing w:val="-3"/>
                <w:sz w:val="48"/>
              </w:rPr>
              <w:t xml:space="preserve">with Article </w:t>
            </w:r>
            <w:r>
              <w:rPr>
                <w:sz w:val="48"/>
              </w:rPr>
              <w:t xml:space="preserve">16 of </w:t>
            </w:r>
            <w:r>
              <w:rPr>
                <w:spacing w:val="-5"/>
                <w:sz w:val="48"/>
              </w:rPr>
              <w:t xml:space="preserve">Commission </w:t>
            </w:r>
            <w:r>
              <w:rPr>
                <w:spacing w:val="-4"/>
                <w:sz w:val="48"/>
              </w:rPr>
              <w:t xml:space="preserve">Regulation (EU) </w:t>
            </w:r>
            <w:r>
              <w:rPr>
                <w:spacing w:val="-5"/>
                <w:sz w:val="48"/>
              </w:rPr>
              <w:t xml:space="preserve">2016/1719 </w:t>
            </w:r>
            <w:r>
              <w:rPr>
                <w:spacing w:val="-3"/>
                <w:sz w:val="48"/>
              </w:rPr>
              <w:t xml:space="preserve">of </w:t>
            </w:r>
            <w:r>
              <w:rPr>
                <w:spacing w:val="-4"/>
                <w:sz w:val="48"/>
              </w:rPr>
              <w:t xml:space="preserve">26 </w:t>
            </w:r>
            <w:r>
              <w:rPr>
                <w:spacing w:val="-5"/>
                <w:sz w:val="48"/>
              </w:rPr>
              <w:t xml:space="preserve">September 2016 </w:t>
            </w:r>
            <w:r>
              <w:rPr>
                <w:spacing w:val="-4"/>
                <w:sz w:val="48"/>
              </w:rPr>
              <w:t xml:space="preserve">Establishing </w:t>
            </w:r>
            <w:r>
              <w:rPr>
                <w:sz w:val="48"/>
              </w:rPr>
              <w:t xml:space="preserve">a </w:t>
            </w:r>
            <w:r>
              <w:rPr>
                <w:spacing w:val="-4"/>
                <w:sz w:val="48"/>
              </w:rPr>
              <w:t xml:space="preserve">Guideline </w:t>
            </w:r>
            <w:r>
              <w:rPr>
                <w:sz w:val="48"/>
              </w:rPr>
              <w:t xml:space="preserve">on </w:t>
            </w:r>
            <w:r>
              <w:rPr>
                <w:spacing w:val="-4"/>
                <w:sz w:val="48"/>
              </w:rPr>
              <w:t>Forward</w:t>
            </w:r>
          </w:p>
          <w:p w:rsidR="0087538C" w:rsidRDefault="00851036">
            <w:pPr>
              <w:pStyle w:val="TableParagraph"/>
              <w:tabs>
                <w:tab w:val="left" w:pos="1781"/>
                <w:tab w:val="left" w:pos="7067"/>
              </w:tabs>
              <w:spacing w:before="1"/>
              <w:ind w:left="101"/>
              <w:rPr>
                <w:sz w:val="48"/>
              </w:rPr>
            </w:pPr>
            <w:r>
              <w:rPr>
                <w:sz w:val="48"/>
                <w:u w:val="single"/>
              </w:rPr>
              <w:t xml:space="preserve"> </w:t>
            </w:r>
            <w:r>
              <w:rPr>
                <w:sz w:val="48"/>
                <w:u w:val="single"/>
              </w:rPr>
              <w:tab/>
            </w:r>
            <w:r>
              <w:rPr>
                <w:spacing w:val="-4"/>
                <w:sz w:val="48"/>
                <w:u w:val="single"/>
              </w:rPr>
              <w:t>Capacity</w:t>
            </w:r>
            <w:r>
              <w:rPr>
                <w:spacing w:val="4"/>
                <w:sz w:val="48"/>
                <w:u w:val="single"/>
              </w:rPr>
              <w:t xml:space="preserve"> </w:t>
            </w:r>
            <w:r>
              <w:rPr>
                <w:spacing w:val="-4"/>
                <w:sz w:val="48"/>
                <w:u w:val="single"/>
              </w:rPr>
              <w:t>Allocation</w:t>
            </w:r>
            <w:r>
              <w:rPr>
                <w:spacing w:val="-4"/>
                <w:sz w:val="48"/>
                <w:u w:val="single"/>
              </w:rPr>
              <w:tab/>
            </w:r>
          </w:p>
        </w:tc>
      </w:tr>
      <w:tr w:rsidR="0087538C">
        <w:trPr>
          <w:trHeight w:val="878"/>
        </w:trPr>
        <w:tc>
          <w:tcPr>
            <w:tcW w:w="7173" w:type="dxa"/>
          </w:tcPr>
          <w:p w:rsidR="0087538C" w:rsidRDefault="0087538C">
            <w:pPr>
              <w:pStyle w:val="TableParagraph"/>
              <w:spacing w:before="8"/>
              <w:jc w:val="left"/>
              <w:rPr>
                <w:rFonts w:ascii="Times New Roman"/>
                <w:sz w:val="38"/>
              </w:rPr>
            </w:pPr>
          </w:p>
          <w:p w:rsidR="0087538C" w:rsidRDefault="00851036">
            <w:pPr>
              <w:pStyle w:val="TableParagraph"/>
              <w:spacing w:before="1" w:line="413" w:lineRule="exact"/>
              <w:ind w:left="2559" w:right="2560"/>
              <w:jc w:val="center"/>
              <w:rPr>
                <w:sz w:val="36"/>
              </w:rPr>
            </w:pPr>
            <w:r>
              <w:rPr>
                <w:sz w:val="36"/>
              </w:rPr>
              <w:t>12</w:t>
            </w:r>
            <w:r>
              <w:rPr>
                <w:position w:val="12"/>
                <w:sz w:val="23"/>
              </w:rPr>
              <w:t xml:space="preserve">th  </w:t>
            </w:r>
            <w:r>
              <w:rPr>
                <w:sz w:val="36"/>
              </w:rPr>
              <w:t>July 2019</w:t>
            </w:r>
          </w:p>
        </w:tc>
      </w:tr>
    </w:tbl>
    <w:p w:rsidR="0087538C" w:rsidRDefault="0087538C">
      <w:pPr>
        <w:spacing w:line="413" w:lineRule="exact"/>
        <w:jc w:val="center"/>
        <w:rPr>
          <w:sz w:val="36"/>
        </w:rPr>
        <w:sectPr w:rsidR="0087538C">
          <w:footerReference w:type="default" r:id="rId7"/>
          <w:type w:val="continuous"/>
          <w:pgSz w:w="11910" w:h="16840"/>
          <w:pgMar w:top="1580" w:right="1300" w:bottom="1120" w:left="1260" w:header="720" w:footer="920" w:gutter="0"/>
          <w:pgNumType w:start="1"/>
          <w:cols w:space="720"/>
        </w:sectPr>
      </w:pPr>
    </w:p>
    <w:p w:rsidR="0087538C" w:rsidRDefault="00851036">
      <w:pPr>
        <w:pStyle w:val="Pamatteksts"/>
        <w:spacing w:before="78"/>
        <w:ind w:left="156"/>
      </w:pPr>
      <w:r>
        <w:lastRenderedPageBreak/>
        <w:t>Estonian and Latvian TSOs of Baltic CCR TSOs, taking into account the following:</w:t>
      </w:r>
    </w:p>
    <w:p w:rsidR="0087538C" w:rsidRDefault="0087538C">
      <w:pPr>
        <w:pStyle w:val="Pamatteksts"/>
        <w:rPr>
          <w:sz w:val="24"/>
        </w:rPr>
      </w:pPr>
    </w:p>
    <w:p w:rsidR="0087538C" w:rsidRDefault="0087538C">
      <w:pPr>
        <w:pStyle w:val="Pamatteksts"/>
        <w:rPr>
          <w:sz w:val="24"/>
        </w:rPr>
      </w:pPr>
    </w:p>
    <w:p w:rsidR="0087538C" w:rsidRDefault="00851036">
      <w:pPr>
        <w:pStyle w:val="Virsraksts1"/>
        <w:ind w:left="403"/>
      </w:pPr>
      <w:r>
        <w:t>Whereas</w:t>
      </w:r>
    </w:p>
    <w:p w:rsidR="0087538C" w:rsidRDefault="0087538C">
      <w:pPr>
        <w:pStyle w:val="Pamatteksts"/>
        <w:rPr>
          <w:b/>
          <w:sz w:val="24"/>
        </w:rPr>
      </w:pPr>
    </w:p>
    <w:p w:rsidR="0087538C" w:rsidRDefault="00851036">
      <w:pPr>
        <w:pStyle w:val="Sarakstarindkopa"/>
        <w:numPr>
          <w:ilvl w:val="0"/>
          <w:numId w:val="10"/>
        </w:numPr>
        <w:tabs>
          <w:tab w:val="left" w:pos="528"/>
        </w:tabs>
        <w:ind w:right="110" w:firstLine="0"/>
        <w:jc w:val="both"/>
      </w:pPr>
      <w:r>
        <w:t>This document by Estonian and Latvian Transmission System Operators of Baltic Capacity Calculation Region (hereafter referred to as “Baltic CCR”) as defined in accordance with Article 15 of Commission Regulation (EU) 2015/1222 establishing a guideline on Capacity Allocation and Congestion Management (hereafter referred to as the “CACM Regulation”) describes a common Methodology for Splitting Long-Term Cross-Zonal Capacity (hereafter referred to as the “LTCS”) in accordance</w:t>
      </w:r>
      <w:r>
        <w:rPr>
          <w:spacing w:val="-7"/>
        </w:rPr>
        <w:t xml:space="preserve"> </w:t>
      </w:r>
      <w:r>
        <w:t>with</w:t>
      </w:r>
      <w:r>
        <w:rPr>
          <w:spacing w:val="-9"/>
        </w:rPr>
        <w:t xml:space="preserve"> </w:t>
      </w:r>
      <w:r>
        <w:t>Article</w:t>
      </w:r>
      <w:r>
        <w:rPr>
          <w:spacing w:val="-8"/>
        </w:rPr>
        <w:t xml:space="preserve"> </w:t>
      </w:r>
      <w:r>
        <w:t>16</w:t>
      </w:r>
      <w:r>
        <w:rPr>
          <w:spacing w:val="-10"/>
        </w:rPr>
        <w:t xml:space="preserve"> </w:t>
      </w:r>
      <w:r>
        <w:t>of</w:t>
      </w:r>
      <w:r>
        <w:rPr>
          <w:spacing w:val="-8"/>
        </w:rPr>
        <w:t xml:space="preserve"> </w:t>
      </w:r>
      <w:r>
        <w:t>the</w:t>
      </w:r>
      <w:r>
        <w:rPr>
          <w:spacing w:val="-6"/>
        </w:rPr>
        <w:t xml:space="preserve"> </w:t>
      </w:r>
      <w:r>
        <w:t>Commission</w:t>
      </w:r>
      <w:r>
        <w:rPr>
          <w:spacing w:val="-7"/>
        </w:rPr>
        <w:t xml:space="preserve"> </w:t>
      </w:r>
      <w:r>
        <w:t>Regulation</w:t>
      </w:r>
      <w:r>
        <w:rPr>
          <w:spacing w:val="-6"/>
        </w:rPr>
        <w:t xml:space="preserve"> </w:t>
      </w:r>
      <w:r>
        <w:t>2016/1719</w:t>
      </w:r>
      <w:r>
        <w:rPr>
          <w:spacing w:val="-9"/>
        </w:rPr>
        <w:t xml:space="preserve"> </w:t>
      </w:r>
      <w:r>
        <w:t>(hereafter</w:t>
      </w:r>
      <w:r>
        <w:rPr>
          <w:spacing w:val="-8"/>
        </w:rPr>
        <w:t xml:space="preserve"> </w:t>
      </w:r>
      <w:r>
        <w:t>referred</w:t>
      </w:r>
      <w:r>
        <w:rPr>
          <w:spacing w:val="-8"/>
        </w:rPr>
        <w:t xml:space="preserve"> </w:t>
      </w:r>
      <w:r>
        <w:t>to</w:t>
      </w:r>
      <w:r>
        <w:rPr>
          <w:spacing w:val="-9"/>
        </w:rPr>
        <w:t xml:space="preserve"> </w:t>
      </w:r>
      <w:r>
        <w:t>as</w:t>
      </w:r>
      <w:r>
        <w:rPr>
          <w:spacing w:val="-9"/>
        </w:rPr>
        <w:t xml:space="preserve"> </w:t>
      </w:r>
      <w:r>
        <w:t>the</w:t>
      </w:r>
      <w:r>
        <w:rPr>
          <w:spacing w:val="-8"/>
        </w:rPr>
        <w:t xml:space="preserve"> </w:t>
      </w:r>
      <w:r>
        <w:t>“FCA Regulation).</w:t>
      </w:r>
    </w:p>
    <w:p w:rsidR="0087538C" w:rsidRDefault="0087538C">
      <w:pPr>
        <w:pStyle w:val="Pamatteksts"/>
      </w:pPr>
    </w:p>
    <w:p w:rsidR="0087538C" w:rsidRDefault="00851036">
      <w:pPr>
        <w:pStyle w:val="Sarakstarindkopa"/>
        <w:numPr>
          <w:ilvl w:val="0"/>
          <w:numId w:val="10"/>
        </w:numPr>
        <w:tabs>
          <w:tab w:val="left" w:pos="504"/>
        </w:tabs>
        <w:ind w:right="110" w:firstLine="0"/>
        <w:jc w:val="both"/>
      </w:pPr>
      <w:r>
        <w:t>This LTCS takes into account the general principles, goals and other methodologies set in the FCA</w:t>
      </w:r>
      <w:r w:rsidR="00CD4931">
        <w:t xml:space="preserve"> </w:t>
      </w:r>
      <w:r>
        <w:t>Regulation, CACM Regulation, Commission Regulation (EU) 2017/1485 of 2 August 2017 establishing a Guideline on Electricity Transmission System Operation (hereafter referred to as "SO Regulation"), and Regulation (EC) No 714/2009 of the European Parliament and of the Council of 13 July</w:t>
      </w:r>
      <w:r>
        <w:rPr>
          <w:spacing w:val="-12"/>
        </w:rPr>
        <w:t xml:space="preserve"> </w:t>
      </w:r>
      <w:r>
        <w:t>2009</w:t>
      </w:r>
      <w:r>
        <w:rPr>
          <w:spacing w:val="-11"/>
        </w:rPr>
        <w:t xml:space="preserve"> </w:t>
      </w:r>
      <w:r>
        <w:t>on</w:t>
      </w:r>
      <w:r>
        <w:rPr>
          <w:spacing w:val="-10"/>
        </w:rPr>
        <w:t xml:space="preserve"> </w:t>
      </w:r>
      <w:r>
        <w:t>Conditions</w:t>
      </w:r>
      <w:r>
        <w:rPr>
          <w:spacing w:val="-11"/>
        </w:rPr>
        <w:t xml:space="preserve"> </w:t>
      </w:r>
      <w:r>
        <w:t>for</w:t>
      </w:r>
      <w:r>
        <w:rPr>
          <w:spacing w:val="-9"/>
        </w:rPr>
        <w:t xml:space="preserve"> </w:t>
      </w:r>
      <w:r>
        <w:t>Access</w:t>
      </w:r>
      <w:r>
        <w:rPr>
          <w:spacing w:val="-11"/>
        </w:rPr>
        <w:t xml:space="preserve"> </w:t>
      </w:r>
      <w:r>
        <w:t>to</w:t>
      </w:r>
      <w:r>
        <w:rPr>
          <w:spacing w:val="-11"/>
        </w:rPr>
        <w:t xml:space="preserve"> </w:t>
      </w:r>
      <w:r>
        <w:t>the</w:t>
      </w:r>
      <w:r>
        <w:rPr>
          <w:spacing w:val="-7"/>
        </w:rPr>
        <w:t xml:space="preserve"> </w:t>
      </w:r>
      <w:r>
        <w:t>Network</w:t>
      </w:r>
      <w:r>
        <w:rPr>
          <w:spacing w:val="-13"/>
        </w:rPr>
        <w:t xml:space="preserve"> </w:t>
      </w:r>
      <w:r>
        <w:t>for</w:t>
      </w:r>
      <w:r>
        <w:rPr>
          <w:spacing w:val="-11"/>
        </w:rPr>
        <w:t xml:space="preserve"> </w:t>
      </w:r>
      <w:r>
        <w:t>Cross-Border</w:t>
      </w:r>
      <w:r>
        <w:rPr>
          <w:spacing w:val="-10"/>
        </w:rPr>
        <w:t xml:space="preserve"> </w:t>
      </w:r>
      <w:r>
        <w:t>Exchanges</w:t>
      </w:r>
      <w:r>
        <w:rPr>
          <w:spacing w:val="-10"/>
        </w:rPr>
        <w:t xml:space="preserve"> </w:t>
      </w:r>
      <w:r>
        <w:t>in</w:t>
      </w:r>
      <w:r>
        <w:rPr>
          <w:spacing w:val="-10"/>
        </w:rPr>
        <w:t xml:space="preserve"> </w:t>
      </w:r>
      <w:r>
        <w:t>Electricity</w:t>
      </w:r>
      <w:r>
        <w:rPr>
          <w:spacing w:val="-10"/>
        </w:rPr>
        <w:t xml:space="preserve"> </w:t>
      </w:r>
      <w:r>
        <w:t>(hereafter referred to as “Regulation (EC) No</w:t>
      </w:r>
      <w:r>
        <w:rPr>
          <w:spacing w:val="-5"/>
        </w:rPr>
        <w:t xml:space="preserve"> </w:t>
      </w:r>
      <w:r>
        <w:t>714/2009”).</w:t>
      </w:r>
    </w:p>
    <w:p w:rsidR="0087538C" w:rsidRDefault="0087538C">
      <w:pPr>
        <w:pStyle w:val="Pamatteksts"/>
      </w:pPr>
    </w:p>
    <w:p w:rsidR="0087538C" w:rsidRDefault="00851036">
      <w:pPr>
        <w:pStyle w:val="Sarakstarindkopa"/>
        <w:numPr>
          <w:ilvl w:val="0"/>
          <w:numId w:val="10"/>
        </w:numPr>
        <w:tabs>
          <w:tab w:val="left" w:pos="500"/>
        </w:tabs>
        <w:ind w:right="110" w:firstLine="0"/>
        <w:jc w:val="both"/>
      </w:pPr>
      <w:r>
        <w:t xml:space="preserve">The goal of the FCA Regulation is the coordination and </w:t>
      </w:r>
      <w:r w:rsidR="00CD4931">
        <w:t>harmonization</w:t>
      </w:r>
      <w:r>
        <w:t xml:space="preserve"> of cross-zonal capacity calculation and capacity allocation in the forward markets, and it sets requirements for the TSOs to cooperate on the level of capacity calculation regions (hereinafter referred to as “CCRs”), on a pan- European level and across bidding zone borders. The FCA Regulation also sets rules for establishing capacity calculation methodologies based either on the coordinated net transmission capacity approach (hereafter</w:t>
      </w:r>
      <w:r>
        <w:rPr>
          <w:spacing w:val="-6"/>
        </w:rPr>
        <w:t xml:space="preserve"> </w:t>
      </w:r>
      <w:r>
        <w:t>referred</w:t>
      </w:r>
      <w:r>
        <w:rPr>
          <w:spacing w:val="-6"/>
        </w:rPr>
        <w:t xml:space="preserve"> </w:t>
      </w:r>
      <w:r>
        <w:t>to</w:t>
      </w:r>
      <w:r>
        <w:rPr>
          <w:spacing w:val="-6"/>
        </w:rPr>
        <w:t xml:space="preserve"> </w:t>
      </w:r>
      <w:r>
        <w:t>as</w:t>
      </w:r>
      <w:r>
        <w:rPr>
          <w:spacing w:val="-5"/>
        </w:rPr>
        <w:t xml:space="preserve"> </w:t>
      </w:r>
      <w:r>
        <w:t>“CNTC</w:t>
      </w:r>
      <w:r>
        <w:rPr>
          <w:spacing w:val="-5"/>
        </w:rPr>
        <w:t xml:space="preserve"> </w:t>
      </w:r>
      <w:r>
        <w:t>approach”)</w:t>
      </w:r>
      <w:r>
        <w:rPr>
          <w:spacing w:val="-4"/>
        </w:rPr>
        <w:t xml:space="preserve"> </w:t>
      </w:r>
      <w:r>
        <w:t>or</w:t>
      </w:r>
      <w:r>
        <w:rPr>
          <w:spacing w:val="-3"/>
        </w:rPr>
        <w:t xml:space="preserve"> </w:t>
      </w:r>
      <w:r>
        <w:t>on</w:t>
      </w:r>
      <w:r>
        <w:rPr>
          <w:spacing w:val="-6"/>
        </w:rPr>
        <w:t xml:space="preserve"> </w:t>
      </w:r>
      <w:r>
        <w:t>the</w:t>
      </w:r>
      <w:r>
        <w:rPr>
          <w:spacing w:val="-6"/>
        </w:rPr>
        <w:t xml:space="preserve"> </w:t>
      </w:r>
      <w:r>
        <w:t>flow-based</w:t>
      </w:r>
      <w:r>
        <w:rPr>
          <w:spacing w:val="-3"/>
        </w:rPr>
        <w:t xml:space="preserve"> </w:t>
      </w:r>
      <w:r>
        <w:t>approach</w:t>
      </w:r>
      <w:r>
        <w:rPr>
          <w:spacing w:val="-6"/>
        </w:rPr>
        <w:t xml:space="preserve"> </w:t>
      </w:r>
      <w:r>
        <w:t>(hereafter</w:t>
      </w:r>
      <w:r>
        <w:rPr>
          <w:spacing w:val="-5"/>
        </w:rPr>
        <w:t xml:space="preserve"> </w:t>
      </w:r>
      <w:r>
        <w:t>referred</w:t>
      </w:r>
      <w:r>
        <w:rPr>
          <w:spacing w:val="-6"/>
        </w:rPr>
        <w:t xml:space="preserve"> </w:t>
      </w:r>
      <w:r>
        <w:t>to</w:t>
      </w:r>
      <w:r>
        <w:rPr>
          <w:spacing w:val="-4"/>
        </w:rPr>
        <w:t xml:space="preserve"> </w:t>
      </w:r>
      <w:r>
        <w:t>as</w:t>
      </w:r>
      <w:r>
        <w:rPr>
          <w:spacing w:val="-6"/>
        </w:rPr>
        <w:t xml:space="preserve"> </w:t>
      </w:r>
      <w:r>
        <w:t>“FB approach”). In case of the TSO(s) allocating long term transmissions rights (hereinafter referred to as “LTTR”), the FCA Regulation also sets rules for establishing a methodology for the splitting of long term capacity on different time frames, e.g. month and</w:t>
      </w:r>
      <w:r>
        <w:rPr>
          <w:spacing w:val="-8"/>
        </w:rPr>
        <w:t xml:space="preserve"> </w:t>
      </w:r>
      <w:r>
        <w:t>year.</w:t>
      </w:r>
    </w:p>
    <w:p w:rsidR="0087538C" w:rsidRDefault="0087538C">
      <w:pPr>
        <w:pStyle w:val="Pamatteksts"/>
      </w:pPr>
    </w:p>
    <w:p w:rsidR="0087538C" w:rsidRDefault="00851036">
      <w:pPr>
        <w:pStyle w:val="Sarakstarindkopa"/>
        <w:numPr>
          <w:ilvl w:val="0"/>
          <w:numId w:val="10"/>
        </w:numPr>
        <w:tabs>
          <w:tab w:val="left" w:pos="469"/>
        </w:tabs>
        <w:ind w:right="112" w:firstLine="0"/>
        <w:jc w:val="both"/>
      </w:pPr>
      <w:r>
        <w:t>This LTCS takes into account the Capacity Calculation Methodology in accordance with Article 10 of the Regulation FCA (hereinafter „FCA CCM“) and assumes that the FCA CCM is developed accordingly, is available in order to execute allocation of transmission rights for the long-term time frame.</w:t>
      </w:r>
    </w:p>
    <w:p w:rsidR="0087538C" w:rsidRDefault="0087538C">
      <w:pPr>
        <w:pStyle w:val="Pamatteksts"/>
      </w:pPr>
    </w:p>
    <w:p w:rsidR="0087538C" w:rsidRDefault="00851036">
      <w:pPr>
        <w:pStyle w:val="Sarakstarindkopa"/>
        <w:numPr>
          <w:ilvl w:val="0"/>
          <w:numId w:val="10"/>
        </w:numPr>
        <w:tabs>
          <w:tab w:val="left" w:pos="471"/>
        </w:tabs>
        <w:ind w:right="113" w:firstLine="0"/>
        <w:jc w:val="both"/>
      </w:pPr>
      <w:r>
        <w:t>Article 4(8) of the FCA Regulation requires that the expected impact of the LTCS on the objectives of the FCA Regulation is described. The impact is presented below (points (8) to (12) of this Whereas Section).</w:t>
      </w:r>
    </w:p>
    <w:p w:rsidR="0087538C" w:rsidRDefault="0087538C">
      <w:pPr>
        <w:pStyle w:val="Pamatteksts"/>
        <w:spacing w:before="1"/>
      </w:pPr>
    </w:p>
    <w:p w:rsidR="0087538C" w:rsidRDefault="00851036">
      <w:pPr>
        <w:pStyle w:val="Sarakstarindkopa"/>
        <w:numPr>
          <w:ilvl w:val="0"/>
          <w:numId w:val="10"/>
        </w:numPr>
        <w:tabs>
          <w:tab w:val="left" w:pos="492"/>
        </w:tabs>
        <w:ind w:right="110" w:firstLine="0"/>
        <w:jc w:val="both"/>
      </w:pPr>
      <w:r>
        <w:t>The LTCS contributes to and does not in any way hamper the achievement of the objectives of Article 3 of the FCA Regulation. In particular, the LTCS serves the objectives of optimising the calculation and allocation of long-term transmission rights (Article 3(b) of the FCA Regulation), providing non-discriminatory access to long-term transmission rights (Article 3(c) of the FCA Regulation), respecting the need for a fair and orderly forward capacity allocation and orderly price formation</w:t>
      </w:r>
      <w:r>
        <w:rPr>
          <w:spacing w:val="-10"/>
        </w:rPr>
        <w:t xml:space="preserve"> </w:t>
      </w:r>
      <w:r>
        <w:t>(Article</w:t>
      </w:r>
      <w:r>
        <w:rPr>
          <w:spacing w:val="-6"/>
        </w:rPr>
        <w:t xml:space="preserve"> </w:t>
      </w:r>
      <w:r>
        <w:t>3(e)</w:t>
      </w:r>
      <w:r>
        <w:rPr>
          <w:spacing w:val="-8"/>
        </w:rPr>
        <w:t xml:space="preserve"> </w:t>
      </w:r>
      <w:r>
        <w:t>of</w:t>
      </w:r>
      <w:r>
        <w:rPr>
          <w:spacing w:val="-8"/>
        </w:rPr>
        <w:t xml:space="preserve"> </w:t>
      </w:r>
      <w:r>
        <w:t>the</w:t>
      </w:r>
      <w:r>
        <w:rPr>
          <w:spacing w:val="-7"/>
        </w:rPr>
        <w:t xml:space="preserve"> </w:t>
      </w:r>
      <w:r>
        <w:t>FCA</w:t>
      </w:r>
      <w:r>
        <w:rPr>
          <w:spacing w:val="-7"/>
        </w:rPr>
        <w:t xml:space="preserve"> </w:t>
      </w:r>
      <w:r>
        <w:t>Regulation),</w:t>
      </w:r>
      <w:r>
        <w:rPr>
          <w:spacing w:val="-6"/>
        </w:rPr>
        <w:t xml:space="preserve"> </w:t>
      </w:r>
      <w:r>
        <w:t>ensuring</w:t>
      </w:r>
      <w:r>
        <w:rPr>
          <w:spacing w:val="-5"/>
        </w:rPr>
        <w:t xml:space="preserve"> </w:t>
      </w:r>
      <w:r>
        <w:t>and</w:t>
      </w:r>
      <w:r>
        <w:rPr>
          <w:spacing w:val="-6"/>
        </w:rPr>
        <w:t xml:space="preserve"> </w:t>
      </w:r>
      <w:r>
        <w:t>enhancing</w:t>
      </w:r>
      <w:r>
        <w:rPr>
          <w:spacing w:val="-10"/>
        </w:rPr>
        <w:t xml:space="preserve"> </w:t>
      </w:r>
      <w:r>
        <w:t>the</w:t>
      </w:r>
      <w:r>
        <w:rPr>
          <w:spacing w:val="-8"/>
        </w:rPr>
        <w:t xml:space="preserve"> </w:t>
      </w:r>
      <w:r>
        <w:t>transparency</w:t>
      </w:r>
      <w:r>
        <w:rPr>
          <w:spacing w:val="-7"/>
        </w:rPr>
        <w:t xml:space="preserve"> </w:t>
      </w:r>
      <w:r>
        <w:t>and</w:t>
      </w:r>
      <w:r>
        <w:rPr>
          <w:spacing w:val="-7"/>
        </w:rPr>
        <w:t xml:space="preserve"> </w:t>
      </w:r>
      <w:r>
        <w:t>reliability of information on forward capacity allocation (Article 3(f) of the FCA Regulation) and contributing to the efficient long-term operation and development of the electricity transmission system and electricity sector in the Union (Article 3(g) of the FCA</w:t>
      </w:r>
      <w:r>
        <w:rPr>
          <w:spacing w:val="-9"/>
        </w:rPr>
        <w:t xml:space="preserve"> </w:t>
      </w:r>
      <w:r>
        <w:t>Regulation).</w:t>
      </w:r>
    </w:p>
    <w:p w:rsidR="0087538C" w:rsidRDefault="0087538C">
      <w:pPr>
        <w:pStyle w:val="Pamatteksts"/>
      </w:pPr>
    </w:p>
    <w:p w:rsidR="0087538C" w:rsidRDefault="00851036">
      <w:pPr>
        <w:pStyle w:val="Sarakstarindkopa"/>
        <w:numPr>
          <w:ilvl w:val="0"/>
          <w:numId w:val="10"/>
        </w:numPr>
        <w:tabs>
          <w:tab w:val="left" w:pos="457"/>
        </w:tabs>
        <w:spacing w:before="1"/>
        <w:ind w:right="113" w:firstLine="0"/>
        <w:jc w:val="both"/>
      </w:pPr>
      <w:r>
        <w:t>The</w:t>
      </w:r>
      <w:r>
        <w:rPr>
          <w:spacing w:val="-13"/>
        </w:rPr>
        <w:t xml:space="preserve"> </w:t>
      </w:r>
      <w:r>
        <w:t>LTCS</w:t>
      </w:r>
      <w:r>
        <w:rPr>
          <w:spacing w:val="-14"/>
        </w:rPr>
        <w:t xml:space="preserve"> </w:t>
      </w:r>
      <w:r>
        <w:t>serves</w:t>
      </w:r>
      <w:r>
        <w:rPr>
          <w:spacing w:val="-14"/>
        </w:rPr>
        <w:t xml:space="preserve"> </w:t>
      </w:r>
      <w:r>
        <w:t>the</w:t>
      </w:r>
      <w:r>
        <w:rPr>
          <w:spacing w:val="-15"/>
        </w:rPr>
        <w:t xml:space="preserve"> </w:t>
      </w:r>
      <w:r>
        <w:t>objective</w:t>
      </w:r>
      <w:r>
        <w:rPr>
          <w:spacing w:val="-14"/>
        </w:rPr>
        <w:t xml:space="preserve"> </w:t>
      </w:r>
      <w:r>
        <w:t>of</w:t>
      </w:r>
      <w:r>
        <w:rPr>
          <w:spacing w:val="-13"/>
        </w:rPr>
        <w:t xml:space="preserve"> </w:t>
      </w:r>
      <w:r>
        <w:t>optimising</w:t>
      </w:r>
      <w:r>
        <w:rPr>
          <w:spacing w:val="-17"/>
        </w:rPr>
        <w:t xml:space="preserve"> </w:t>
      </w:r>
      <w:r>
        <w:t>the</w:t>
      </w:r>
      <w:r>
        <w:rPr>
          <w:spacing w:val="-13"/>
        </w:rPr>
        <w:t xml:space="preserve"> </w:t>
      </w:r>
      <w:r>
        <w:t>calculation</w:t>
      </w:r>
      <w:r>
        <w:rPr>
          <w:spacing w:val="-17"/>
        </w:rPr>
        <w:t xml:space="preserve"> </w:t>
      </w:r>
      <w:r>
        <w:t>and</w:t>
      </w:r>
      <w:r>
        <w:rPr>
          <w:spacing w:val="-13"/>
        </w:rPr>
        <w:t xml:space="preserve"> </w:t>
      </w:r>
      <w:r>
        <w:t>allocation</w:t>
      </w:r>
      <w:r>
        <w:rPr>
          <w:spacing w:val="-14"/>
        </w:rPr>
        <w:t xml:space="preserve"> </w:t>
      </w:r>
      <w:r>
        <w:t>of</w:t>
      </w:r>
      <w:r>
        <w:rPr>
          <w:spacing w:val="-15"/>
        </w:rPr>
        <w:t xml:space="preserve"> </w:t>
      </w:r>
      <w:r>
        <w:t>long-term</w:t>
      </w:r>
      <w:r>
        <w:rPr>
          <w:spacing w:val="-17"/>
        </w:rPr>
        <w:t xml:space="preserve"> </w:t>
      </w:r>
      <w:r>
        <w:t>transmission rights in accordance with Article 3(b) of the FCA Regulation since the LTCS is using an efficient approach balancing the risk of underselling with the need for heeding of the</w:t>
      </w:r>
      <w:r>
        <w:rPr>
          <w:spacing w:val="-11"/>
        </w:rPr>
        <w:t xml:space="preserve"> </w:t>
      </w:r>
      <w:r>
        <w:t>market.</w:t>
      </w:r>
    </w:p>
    <w:p w:rsidR="0087538C" w:rsidRDefault="0087538C">
      <w:pPr>
        <w:pStyle w:val="Pamatteksts"/>
        <w:spacing w:before="1"/>
      </w:pPr>
    </w:p>
    <w:p w:rsidR="0087538C" w:rsidRDefault="00851036">
      <w:pPr>
        <w:pStyle w:val="Sarakstarindkopa"/>
        <w:numPr>
          <w:ilvl w:val="0"/>
          <w:numId w:val="10"/>
        </w:numPr>
        <w:tabs>
          <w:tab w:val="left" w:pos="469"/>
        </w:tabs>
        <w:ind w:left="468" w:hanging="313"/>
        <w:jc w:val="both"/>
      </w:pPr>
      <w:r>
        <w:t>The LTCS provides non-discriminatory access to LTTR</w:t>
      </w:r>
      <w:r>
        <w:rPr>
          <w:spacing w:val="-4"/>
        </w:rPr>
        <w:t xml:space="preserve"> </w:t>
      </w:r>
      <w:r>
        <w:t>(Article</w:t>
      </w:r>
    </w:p>
    <w:p w:rsidR="0087538C" w:rsidRDefault="0087538C">
      <w:pPr>
        <w:jc w:val="both"/>
        <w:sectPr w:rsidR="0087538C">
          <w:pgSz w:w="11910" w:h="16840"/>
          <w:pgMar w:top="1320" w:right="1300" w:bottom="1120" w:left="1260" w:header="0" w:footer="920" w:gutter="0"/>
          <w:cols w:space="720"/>
        </w:sectPr>
      </w:pPr>
    </w:p>
    <w:p w:rsidR="0087538C" w:rsidRDefault="00851036">
      <w:pPr>
        <w:pStyle w:val="Pamatteksts"/>
        <w:spacing w:before="76"/>
        <w:ind w:left="156" w:right="112"/>
        <w:jc w:val="both"/>
      </w:pPr>
      <w:r>
        <w:lastRenderedPageBreak/>
        <w:t>3(c)</w:t>
      </w:r>
      <w:r>
        <w:rPr>
          <w:spacing w:val="-7"/>
        </w:rPr>
        <w:t xml:space="preserve"> </w:t>
      </w:r>
      <w:r>
        <w:t>of</w:t>
      </w:r>
      <w:r>
        <w:rPr>
          <w:spacing w:val="-8"/>
        </w:rPr>
        <w:t xml:space="preserve"> </w:t>
      </w:r>
      <w:r>
        <w:t>the</w:t>
      </w:r>
      <w:r>
        <w:rPr>
          <w:spacing w:val="-8"/>
        </w:rPr>
        <w:t xml:space="preserve"> </w:t>
      </w:r>
      <w:r>
        <w:t>FCA</w:t>
      </w:r>
      <w:r>
        <w:rPr>
          <w:spacing w:val="-9"/>
        </w:rPr>
        <w:t xml:space="preserve"> </w:t>
      </w:r>
      <w:r>
        <w:t>Regulation)</w:t>
      </w:r>
      <w:r>
        <w:rPr>
          <w:spacing w:val="-8"/>
        </w:rPr>
        <w:t xml:space="preserve"> </w:t>
      </w:r>
      <w:r>
        <w:t>as</w:t>
      </w:r>
      <w:r>
        <w:rPr>
          <w:spacing w:val="-8"/>
        </w:rPr>
        <w:t xml:space="preserve"> </w:t>
      </w:r>
      <w:r>
        <w:t>there</w:t>
      </w:r>
      <w:r>
        <w:rPr>
          <w:spacing w:val="-8"/>
        </w:rPr>
        <w:t xml:space="preserve"> </w:t>
      </w:r>
      <w:r>
        <w:t>are</w:t>
      </w:r>
      <w:r>
        <w:rPr>
          <w:spacing w:val="-7"/>
        </w:rPr>
        <w:t xml:space="preserve"> </w:t>
      </w:r>
      <w:r>
        <w:t>no</w:t>
      </w:r>
      <w:r>
        <w:rPr>
          <w:spacing w:val="-9"/>
        </w:rPr>
        <w:t xml:space="preserve"> </w:t>
      </w:r>
      <w:r>
        <w:t>barriers</w:t>
      </w:r>
      <w:r>
        <w:rPr>
          <w:spacing w:val="-8"/>
        </w:rPr>
        <w:t xml:space="preserve"> </w:t>
      </w:r>
      <w:r>
        <w:t>for</w:t>
      </w:r>
      <w:r>
        <w:rPr>
          <w:spacing w:val="-10"/>
        </w:rPr>
        <w:t xml:space="preserve"> </w:t>
      </w:r>
      <w:r>
        <w:t>access</w:t>
      </w:r>
      <w:r>
        <w:rPr>
          <w:spacing w:val="-7"/>
        </w:rPr>
        <w:t xml:space="preserve"> </w:t>
      </w:r>
      <w:r>
        <w:t>to</w:t>
      </w:r>
      <w:r>
        <w:rPr>
          <w:spacing w:val="-11"/>
        </w:rPr>
        <w:t xml:space="preserve"> </w:t>
      </w:r>
      <w:r>
        <w:t>the</w:t>
      </w:r>
      <w:r>
        <w:rPr>
          <w:spacing w:val="-11"/>
        </w:rPr>
        <w:t xml:space="preserve"> </w:t>
      </w:r>
      <w:r>
        <w:t>auction</w:t>
      </w:r>
      <w:r>
        <w:rPr>
          <w:spacing w:val="-10"/>
        </w:rPr>
        <w:t xml:space="preserve"> </w:t>
      </w:r>
      <w:r>
        <w:t>of</w:t>
      </w:r>
      <w:r>
        <w:rPr>
          <w:spacing w:val="-8"/>
        </w:rPr>
        <w:t xml:space="preserve"> </w:t>
      </w:r>
      <w:r>
        <w:t>LTTR</w:t>
      </w:r>
      <w:r>
        <w:rPr>
          <w:spacing w:val="-10"/>
        </w:rPr>
        <w:t xml:space="preserve"> </w:t>
      </w:r>
      <w:r>
        <w:t>if</w:t>
      </w:r>
      <w:r>
        <w:rPr>
          <w:spacing w:val="-10"/>
        </w:rPr>
        <w:t xml:space="preserve"> </w:t>
      </w:r>
      <w:r>
        <w:t>the</w:t>
      </w:r>
      <w:r>
        <w:rPr>
          <w:spacing w:val="-1"/>
        </w:rPr>
        <w:t xml:space="preserve"> </w:t>
      </w:r>
      <w:r>
        <w:t>conditions, cf. the Harmonised Allocations Rules, are fulfilled. Moreover it ensures fair and nondiscriminatory treatment of TSOs, the Agency, regulatory authorities and market participants (Article 3(d) of the FCA Regulation) as the rules provide no undue discrimination for market participants and allows for access to data by the Agency regulatory authorities and market</w:t>
      </w:r>
      <w:r>
        <w:rPr>
          <w:spacing w:val="-10"/>
        </w:rPr>
        <w:t xml:space="preserve"> </w:t>
      </w:r>
      <w:r>
        <w:t>participants.</w:t>
      </w:r>
    </w:p>
    <w:p w:rsidR="0087538C" w:rsidRDefault="0087538C">
      <w:pPr>
        <w:pStyle w:val="Pamatteksts"/>
        <w:spacing w:before="1"/>
      </w:pPr>
    </w:p>
    <w:p w:rsidR="0087538C" w:rsidRDefault="00851036">
      <w:pPr>
        <w:pStyle w:val="Sarakstarindkopa"/>
        <w:numPr>
          <w:ilvl w:val="0"/>
          <w:numId w:val="10"/>
        </w:numPr>
        <w:tabs>
          <w:tab w:val="left" w:pos="466"/>
        </w:tabs>
        <w:spacing w:before="1"/>
        <w:ind w:right="111" w:firstLine="0"/>
        <w:jc w:val="both"/>
      </w:pPr>
      <w:r>
        <w:t>The</w:t>
      </w:r>
      <w:r>
        <w:rPr>
          <w:spacing w:val="-4"/>
        </w:rPr>
        <w:t xml:space="preserve"> </w:t>
      </w:r>
      <w:r>
        <w:t>LTCS</w:t>
      </w:r>
      <w:r>
        <w:rPr>
          <w:spacing w:val="-4"/>
        </w:rPr>
        <w:t xml:space="preserve"> </w:t>
      </w:r>
      <w:r>
        <w:t>contributes</w:t>
      </w:r>
      <w:r>
        <w:rPr>
          <w:spacing w:val="-5"/>
        </w:rPr>
        <w:t xml:space="preserve"> </w:t>
      </w:r>
      <w:r>
        <w:t>to</w:t>
      </w:r>
      <w:r>
        <w:rPr>
          <w:spacing w:val="-5"/>
        </w:rPr>
        <w:t xml:space="preserve"> </w:t>
      </w:r>
      <w:r>
        <w:t>the</w:t>
      </w:r>
      <w:r>
        <w:rPr>
          <w:spacing w:val="-3"/>
        </w:rPr>
        <w:t xml:space="preserve"> </w:t>
      </w:r>
      <w:r>
        <w:t>objective</w:t>
      </w:r>
      <w:r>
        <w:rPr>
          <w:spacing w:val="-3"/>
        </w:rPr>
        <w:t xml:space="preserve"> </w:t>
      </w:r>
      <w:r>
        <w:t>of</w:t>
      </w:r>
      <w:r>
        <w:rPr>
          <w:spacing w:val="-3"/>
        </w:rPr>
        <w:t xml:space="preserve"> </w:t>
      </w:r>
      <w:r>
        <w:t>respecting</w:t>
      </w:r>
      <w:r>
        <w:rPr>
          <w:spacing w:val="-7"/>
        </w:rPr>
        <w:t xml:space="preserve"> </w:t>
      </w:r>
      <w:r>
        <w:t>the</w:t>
      </w:r>
      <w:r>
        <w:rPr>
          <w:spacing w:val="-3"/>
        </w:rPr>
        <w:t xml:space="preserve"> </w:t>
      </w:r>
      <w:r>
        <w:t>need for</w:t>
      </w:r>
      <w:r>
        <w:rPr>
          <w:spacing w:val="-4"/>
        </w:rPr>
        <w:t xml:space="preserve"> </w:t>
      </w:r>
      <w:r>
        <w:t>a</w:t>
      </w:r>
      <w:r>
        <w:rPr>
          <w:spacing w:val="-6"/>
        </w:rPr>
        <w:t xml:space="preserve"> </w:t>
      </w:r>
      <w:r>
        <w:t>fair</w:t>
      </w:r>
      <w:r>
        <w:rPr>
          <w:spacing w:val="-3"/>
        </w:rPr>
        <w:t xml:space="preserve"> </w:t>
      </w:r>
      <w:r>
        <w:t>and</w:t>
      </w:r>
      <w:r>
        <w:rPr>
          <w:spacing w:val="-4"/>
        </w:rPr>
        <w:t xml:space="preserve"> </w:t>
      </w:r>
      <w:r>
        <w:t>orderly</w:t>
      </w:r>
      <w:r>
        <w:rPr>
          <w:spacing w:val="-7"/>
        </w:rPr>
        <w:t xml:space="preserve"> </w:t>
      </w:r>
      <w:r>
        <w:t>forward</w:t>
      </w:r>
      <w:r>
        <w:rPr>
          <w:spacing w:val="-4"/>
        </w:rPr>
        <w:t xml:space="preserve"> </w:t>
      </w:r>
      <w:r>
        <w:t>capacity allocation</w:t>
      </w:r>
      <w:r>
        <w:rPr>
          <w:spacing w:val="-7"/>
        </w:rPr>
        <w:t xml:space="preserve"> </w:t>
      </w:r>
      <w:r>
        <w:t>and</w:t>
      </w:r>
      <w:r>
        <w:rPr>
          <w:spacing w:val="-8"/>
        </w:rPr>
        <w:t xml:space="preserve"> </w:t>
      </w:r>
      <w:r>
        <w:t>price</w:t>
      </w:r>
      <w:r>
        <w:rPr>
          <w:spacing w:val="-7"/>
        </w:rPr>
        <w:t xml:space="preserve"> </w:t>
      </w:r>
      <w:r>
        <w:t>formation</w:t>
      </w:r>
      <w:r>
        <w:rPr>
          <w:spacing w:val="-7"/>
        </w:rPr>
        <w:t xml:space="preserve"> </w:t>
      </w:r>
      <w:r>
        <w:t>(Article</w:t>
      </w:r>
      <w:r>
        <w:rPr>
          <w:spacing w:val="-8"/>
        </w:rPr>
        <w:t xml:space="preserve"> </w:t>
      </w:r>
      <w:r>
        <w:t>3(e)</w:t>
      </w:r>
      <w:r>
        <w:rPr>
          <w:spacing w:val="-5"/>
        </w:rPr>
        <w:t xml:space="preserve"> </w:t>
      </w:r>
      <w:r>
        <w:t>of</w:t>
      </w:r>
      <w:r>
        <w:rPr>
          <w:spacing w:val="-5"/>
        </w:rPr>
        <w:t xml:space="preserve"> </w:t>
      </w:r>
      <w:r>
        <w:t>the</w:t>
      </w:r>
      <w:r>
        <w:rPr>
          <w:spacing w:val="-6"/>
        </w:rPr>
        <w:t xml:space="preserve"> </w:t>
      </w:r>
      <w:r>
        <w:t>FCA</w:t>
      </w:r>
      <w:r>
        <w:rPr>
          <w:spacing w:val="-5"/>
        </w:rPr>
        <w:t xml:space="preserve"> </w:t>
      </w:r>
      <w:r>
        <w:t>Regulation)</w:t>
      </w:r>
      <w:r>
        <w:rPr>
          <w:spacing w:val="-8"/>
        </w:rPr>
        <w:t xml:space="preserve"> </w:t>
      </w:r>
      <w:r>
        <w:t>by</w:t>
      </w:r>
      <w:r>
        <w:rPr>
          <w:spacing w:val="-9"/>
        </w:rPr>
        <w:t xml:space="preserve"> </w:t>
      </w:r>
      <w:r>
        <w:t>making</w:t>
      </w:r>
      <w:r>
        <w:rPr>
          <w:spacing w:val="-9"/>
        </w:rPr>
        <w:t xml:space="preserve"> </w:t>
      </w:r>
      <w:r>
        <w:t>available</w:t>
      </w:r>
      <w:r>
        <w:rPr>
          <w:spacing w:val="-6"/>
        </w:rPr>
        <w:t xml:space="preserve"> </w:t>
      </w:r>
      <w:r>
        <w:t>in</w:t>
      </w:r>
      <w:r>
        <w:rPr>
          <w:spacing w:val="-6"/>
        </w:rPr>
        <w:t xml:space="preserve"> </w:t>
      </w:r>
      <w:r>
        <w:t>due</w:t>
      </w:r>
      <w:r>
        <w:rPr>
          <w:spacing w:val="-8"/>
        </w:rPr>
        <w:t xml:space="preserve"> </w:t>
      </w:r>
      <w:r>
        <w:t>time</w:t>
      </w:r>
      <w:r>
        <w:rPr>
          <w:spacing w:val="-6"/>
        </w:rPr>
        <w:t xml:space="preserve"> </w:t>
      </w:r>
      <w:r>
        <w:t>the cross-zonal</w:t>
      </w:r>
      <w:r>
        <w:rPr>
          <w:spacing w:val="-8"/>
        </w:rPr>
        <w:t xml:space="preserve"> </w:t>
      </w:r>
      <w:r>
        <w:t>capacity</w:t>
      </w:r>
      <w:r>
        <w:rPr>
          <w:spacing w:val="-11"/>
        </w:rPr>
        <w:t xml:space="preserve"> </w:t>
      </w:r>
      <w:r>
        <w:t>to</w:t>
      </w:r>
      <w:r>
        <w:rPr>
          <w:spacing w:val="-9"/>
        </w:rPr>
        <w:t xml:space="preserve"> </w:t>
      </w:r>
      <w:r>
        <w:t>be</w:t>
      </w:r>
      <w:r>
        <w:rPr>
          <w:spacing w:val="-9"/>
        </w:rPr>
        <w:t xml:space="preserve"> </w:t>
      </w:r>
      <w:r>
        <w:t>released</w:t>
      </w:r>
      <w:r>
        <w:rPr>
          <w:spacing w:val="-11"/>
        </w:rPr>
        <w:t xml:space="preserve"> </w:t>
      </w:r>
      <w:r>
        <w:t>in</w:t>
      </w:r>
      <w:r>
        <w:rPr>
          <w:spacing w:val="-8"/>
        </w:rPr>
        <w:t xml:space="preserve"> </w:t>
      </w:r>
      <w:r>
        <w:t>the</w:t>
      </w:r>
      <w:r>
        <w:rPr>
          <w:spacing w:val="-12"/>
        </w:rPr>
        <w:t xml:space="preserve"> </w:t>
      </w:r>
      <w:r>
        <w:t>long-term</w:t>
      </w:r>
      <w:r>
        <w:rPr>
          <w:spacing w:val="-12"/>
        </w:rPr>
        <w:t xml:space="preserve"> </w:t>
      </w:r>
      <w:r>
        <w:t>time</w:t>
      </w:r>
      <w:r>
        <w:rPr>
          <w:spacing w:val="-8"/>
        </w:rPr>
        <w:t xml:space="preserve"> </w:t>
      </w:r>
      <w:r>
        <w:t>frame</w:t>
      </w:r>
      <w:r>
        <w:rPr>
          <w:spacing w:val="-9"/>
        </w:rPr>
        <w:t xml:space="preserve"> </w:t>
      </w:r>
      <w:r>
        <w:t>and</w:t>
      </w:r>
      <w:r>
        <w:rPr>
          <w:spacing w:val="-8"/>
        </w:rPr>
        <w:t xml:space="preserve"> </w:t>
      </w:r>
      <w:r>
        <w:t>forward</w:t>
      </w:r>
      <w:r>
        <w:rPr>
          <w:spacing w:val="-9"/>
        </w:rPr>
        <w:t xml:space="preserve"> </w:t>
      </w:r>
      <w:r>
        <w:t>markets,</w:t>
      </w:r>
      <w:r>
        <w:rPr>
          <w:spacing w:val="-9"/>
        </w:rPr>
        <w:t xml:space="preserve"> </w:t>
      </w:r>
      <w:r>
        <w:t>where</w:t>
      </w:r>
      <w:r>
        <w:rPr>
          <w:spacing w:val="-8"/>
        </w:rPr>
        <w:t xml:space="preserve"> </w:t>
      </w:r>
      <w:r>
        <w:t>appropriate.</w:t>
      </w:r>
    </w:p>
    <w:p w:rsidR="0087538C" w:rsidRDefault="0087538C">
      <w:pPr>
        <w:pStyle w:val="Pamatteksts"/>
        <w:spacing w:before="9"/>
        <w:rPr>
          <w:sz w:val="21"/>
        </w:rPr>
      </w:pPr>
    </w:p>
    <w:p w:rsidR="0087538C" w:rsidRDefault="00851036">
      <w:pPr>
        <w:pStyle w:val="Sarakstarindkopa"/>
        <w:numPr>
          <w:ilvl w:val="0"/>
          <w:numId w:val="10"/>
        </w:numPr>
        <w:tabs>
          <w:tab w:val="left" w:pos="591"/>
        </w:tabs>
        <w:spacing w:before="1"/>
        <w:ind w:right="112" w:firstLine="0"/>
        <w:jc w:val="both"/>
      </w:pPr>
      <w:r>
        <w:t>The LTCS serves the objective of transparency and reliability of information (Article 3(f) of the FCA</w:t>
      </w:r>
      <w:r>
        <w:rPr>
          <w:spacing w:val="-11"/>
        </w:rPr>
        <w:t xml:space="preserve"> </w:t>
      </w:r>
      <w:r>
        <w:t>Regulation)</w:t>
      </w:r>
      <w:r>
        <w:rPr>
          <w:spacing w:val="-10"/>
        </w:rPr>
        <w:t xml:space="preserve"> </w:t>
      </w:r>
      <w:r>
        <w:t>as</w:t>
      </w:r>
      <w:r>
        <w:rPr>
          <w:spacing w:val="-10"/>
        </w:rPr>
        <w:t xml:space="preserve"> </w:t>
      </w:r>
      <w:r>
        <w:t>the</w:t>
      </w:r>
      <w:r>
        <w:rPr>
          <w:spacing w:val="-7"/>
        </w:rPr>
        <w:t xml:space="preserve"> </w:t>
      </w:r>
      <w:r>
        <w:t>LTCS</w:t>
      </w:r>
      <w:r>
        <w:rPr>
          <w:spacing w:val="-8"/>
        </w:rPr>
        <w:t xml:space="preserve"> </w:t>
      </w:r>
      <w:r>
        <w:t>determines</w:t>
      </w:r>
      <w:r>
        <w:rPr>
          <w:spacing w:val="-10"/>
        </w:rPr>
        <w:t xml:space="preserve"> </w:t>
      </w:r>
      <w:r>
        <w:t>the</w:t>
      </w:r>
      <w:r>
        <w:rPr>
          <w:spacing w:val="-11"/>
        </w:rPr>
        <w:t xml:space="preserve"> </w:t>
      </w:r>
      <w:r>
        <w:t>main</w:t>
      </w:r>
      <w:r>
        <w:rPr>
          <w:spacing w:val="-10"/>
        </w:rPr>
        <w:t xml:space="preserve"> </w:t>
      </w:r>
      <w:r>
        <w:t>principles</w:t>
      </w:r>
      <w:r>
        <w:rPr>
          <w:spacing w:val="-10"/>
        </w:rPr>
        <w:t xml:space="preserve"> </w:t>
      </w:r>
      <w:r>
        <w:t>and</w:t>
      </w:r>
      <w:r>
        <w:rPr>
          <w:spacing w:val="-11"/>
        </w:rPr>
        <w:t xml:space="preserve"> </w:t>
      </w:r>
      <w:r>
        <w:t>main</w:t>
      </w:r>
      <w:r>
        <w:rPr>
          <w:spacing w:val="-9"/>
        </w:rPr>
        <w:t xml:space="preserve"> </w:t>
      </w:r>
      <w:r>
        <w:t>processes</w:t>
      </w:r>
      <w:r>
        <w:rPr>
          <w:spacing w:val="-10"/>
        </w:rPr>
        <w:t xml:space="preserve"> </w:t>
      </w:r>
      <w:r>
        <w:t>for</w:t>
      </w:r>
      <w:r>
        <w:rPr>
          <w:spacing w:val="-10"/>
        </w:rPr>
        <w:t xml:space="preserve"> </w:t>
      </w:r>
      <w:r>
        <w:t>allocating</w:t>
      </w:r>
      <w:r>
        <w:rPr>
          <w:spacing w:val="-9"/>
        </w:rPr>
        <w:t xml:space="preserve"> </w:t>
      </w:r>
      <w:r>
        <w:t>LTTR. The LTCS enables Baltic CCR TSOs to provide market participants with the same reliable information on</w:t>
      </w:r>
      <w:r>
        <w:rPr>
          <w:spacing w:val="-7"/>
        </w:rPr>
        <w:t xml:space="preserve"> </w:t>
      </w:r>
      <w:r>
        <w:t>cross-zonal</w:t>
      </w:r>
      <w:r>
        <w:rPr>
          <w:spacing w:val="-5"/>
        </w:rPr>
        <w:t xml:space="preserve"> </w:t>
      </w:r>
      <w:r>
        <w:t>capacities</w:t>
      </w:r>
      <w:r>
        <w:rPr>
          <w:spacing w:val="-8"/>
        </w:rPr>
        <w:t xml:space="preserve"> </w:t>
      </w:r>
      <w:r>
        <w:t>and</w:t>
      </w:r>
      <w:r>
        <w:rPr>
          <w:spacing w:val="-6"/>
        </w:rPr>
        <w:t xml:space="preserve"> </w:t>
      </w:r>
      <w:r>
        <w:t>allocation</w:t>
      </w:r>
      <w:r>
        <w:rPr>
          <w:spacing w:val="-7"/>
        </w:rPr>
        <w:t xml:space="preserve"> </w:t>
      </w:r>
      <w:r>
        <w:t>constraints</w:t>
      </w:r>
      <w:r>
        <w:rPr>
          <w:spacing w:val="-5"/>
        </w:rPr>
        <w:t xml:space="preserve"> </w:t>
      </w:r>
      <w:r>
        <w:t>for</w:t>
      </w:r>
      <w:r>
        <w:rPr>
          <w:spacing w:val="-5"/>
        </w:rPr>
        <w:t xml:space="preserve"> </w:t>
      </w:r>
      <w:r>
        <w:t>long-term</w:t>
      </w:r>
      <w:r>
        <w:rPr>
          <w:spacing w:val="-10"/>
        </w:rPr>
        <w:t xml:space="preserve"> </w:t>
      </w:r>
      <w:r>
        <w:t>allocation</w:t>
      </w:r>
      <w:r>
        <w:rPr>
          <w:spacing w:val="-6"/>
        </w:rPr>
        <w:t xml:space="preserve"> </w:t>
      </w:r>
      <w:r>
        <w:t>and</w:t>
      </w:r>
      <w:r>
        <w:rPr>
          <w:spacing w:val="-7"/>
        </w:rPr>
        <w:t xml:space="preserve"> </w:t>
      </w:r>
      <w:r>
        <w:t>forecasting</w:t>
      </w:r>
      <w:r>
        <w:rPr>
          <w:spacing w:val="-9"/>
        </w:rPr>
        <w:t xml:space="preserve"> </w:t>
      </w:r>
      <w:r>
        <w:t>purposes</w:t>
      </w:r>
      <w:r>
        <w:rPr>
          <w:spacing w:val="-5"/>
        </w:rPr>
        <w:t xml:space="preserve"> </w:t>
      </w:r>
      <w:r>
        <w:t>in a transparent way. To facilitate transparency, Baltic CCR TSOs will publish data to the market on a regular</w:t>
      </w:r>
      <w:r>
        <w:rPr>
          <w:spacing w:val="-7"/>
        </w:rPr>
        <w:t xml:space="preserve"> </w:t>
      </w:r>
      <w:r>
        <w:t>basis</w:t>
      </w:r>
      <w:r>
        <w:rPr>
          <w:spacing w:val="-8"/>
        </w:rPr>
        <w:t xml:space="preserve"> </w:t>
      </w:r>
      <w:r>
        <w:t>to</w:t>
      </w:r>
      <w:r>
        <w:rPr>
          <w:spacing w:val="-9"/>
        </w:rPr>
        <w:t xml:space="preserve"> </w:t>
      </w:r>
      <w:r>
        <w:t>help</w:t>
      </w:r>
      <w:r>
        <w:rPr>
          <w:spacing w:val="-8"/>
        </w:rPr>
        <w:t xml:space="preserve"> </w:t>
      </w:r>
      <w:r>
        <w:t>market</w:t>
      </w:r>
      <w:r>
        <w:rPr>
          <w:spacing w:val="-7"/>
        </w:rPr>
        <w:t xml:space="preserve"> </w:t>
      </w:r>
      <w:r>
        <w:t>participants</w:t>
      </w:r>
      <w:r>
        <w:rPr>
          <w:spacing w:val="-8"/>
        </w:rPr>
        <w:t xml:space="preserve"> </w:t>
      </w:r>
      <w:r>
        <w:t>to</w:t>
      </w:r>
      <w:r>
        <w:rPr>
          <w:spacing w:val="-9"/>
        </w:rPr>
        <w:t xml:space="preserve"> </w:t>
      </w:r>
      <w:r>
        <w:t>evaluate</w:t>
      </w:r>
      <w:r>
        <w:rPr>
          <w:spacing w:val="-7"/>
        </w:rPr>
        <w:t xml:space="preserve"> </w:t>
      </w:r>
      <w:r>
        <w:t>the</w:t>
      </w:r>
      <w:r>
        <w:rPr>
          <w:spacing w:val="-11"/>
        </w:rPr>
        <w:t xml:space="preserve"> </w:t>
      </w:r>
      <w:r>
        <w:t>LTTR</w:t>
      </w:r>
      <w:r>
        <w:rPr>
          <w:spacing w:val="-9"/>
        </w:rPr>
        <w:t xml:space="preserve"> </w:t>
      </w:r>
      <w:r>
        <w:t>process</w:t>
      </w:r>
      <w:r>
        <w:rPr>
          <w:spacing w:val="-7"/>
        </w:rPr>
        <w:t xml:space="preserve"> </w:t>
      </w:r>
      <w:r>
        <w:t>and</w:t>
      </w:r>
      <w:r>
        <w:rPr>
          <w:spacing w:val="-6"/>
        </w:rPr>
        <w:t xml:space="preserve"> </w:t>
      </w:r>
      <w:r>
        <w:t>long-term</w:t>
      </w:r>
      <w:r>
        <w:rPr>
          <w:spacing w:val="-10"/>
        </w:rPr>
        <w:t xml:space="preserve"> </w:t>
      </w:r>
      <w:r>
        <w:t>capacity</w:t>
      </w:r>
      <w:r>
        <w:rPr>
          <w:spacing w:val="-11"/>
        </w:rPr>
        <w:t xml:space="preserve"> </w:t>
      </w:r>
      <w:r>
        <w:t>forecasts. Baltic</w:t>
      </w:r>
      <w:r>
        <w:rPr>
          <w:spacing w:val="-11"/>
        </w:rPr>
        <w:t xml:space="preserve"> </w:t>
      </w:r>
      <w:r>
        <w:t>CCR</w:t>
      </w:r>
      <w:r>
        <w:rPr>
          <w:spacing w:val="-12"/>
        </w:rPr>
        <w:t xml:space="preserve"> </w:t>
      </w:r>
      <w:r>
        <w:t>TSOs</w:t>
      </w:r>
      <w:r>
        <w:rPr>
          <w:spacing w:val="-9"/>
        </w:rPr>
        <w:t xml:space="preserve"> </w:t>
      </w:r>
      <w:r>
        <w:t>will</w:t>
      </w:r>
      <w:r>
        <w:rPr>
          <w:spacing w:val="-10"/>
        </w:rPr>
        <w:t xml:space="preserve"> </w:t>
      </w:r>
      <w:r>
        <w:t>engage</w:t>
      </w:r>
      <w:r>
        <w:rPr>
          <w:spacing w:val="-11"/>
        </w:rPr>
        <w:t xml:space="preserve"> </w:t>
      </w:r>
      <w:r>
        <w:t>stakeholders</w:t>
      </w:r>
      <w:r>
        <w:rPr>
          <w:spacing w:val="-9"/>
        </w:rPr>
        <w:t xml:space="preserve"> </w:t>
      </w:r>
      <w:r>
        <w:t>in</w:t>
      </w:r>
      <w:r>
        <w:rPr>
          <w:spacing w:val="-11"/>
        </w:rPr>
        <w:t xml:space="preserve"> </w:t>
      </w:r>
      <w:r>
        <w:t>dialogue</w:t>
      </w:r>
      <w:r>
        <w:rPr>
          <w:spacing w:val="-11"/>
        </w:rPr>
        <w:t xml:space="preserve"> </w:t>
      </w:r>
      <w:r>
        <w:t>to</w:t>
      </w:r>
      <w:r>
        <w:rPr>
          <w:spacing w:val="-8"/>
        </w:rPr>
        <w:t xml:space="preserve"> </w:t>
      </w:r>
      <w:r>
        <w:t>specify</w:t>
      </w:r>
      <w:r>
        <w:rPr>
          <w:spacing w:val="-12"/>
        </w:rPr>
        <w:t xml:space="preserve"> </w:t>
      </w:r>
      <w:r>
        <w:t>necessary</w:t>
      </w:r>
      <w:r>
        <w:rPr>
          <w:spacing w:val="-13"/>
        </w:rPr>
        <w:t xml:space="preserve"> </w:t>
      </w:r>
      <w:r>
        <w:t>hedging</w:t>
      </w:r>
      <w:r>
        <w:rPr>
          <w:spacing w:val="-12"/>
        </w:rPr>
        <w:t xml:space="preserve"> </w:t>
      </w:r>
      <w:r>
        <w:t>needs</w:t>
      </w:r>
      <w:r>
        <w:rPr>
          <w:spacing w:val="-10"/>
        </w:rPr>
        <w:t xml:space="preserve"> </w:t>
      </w:r>
      <w:r>
        <w:t>to</w:t>
      </w:r>
      <w:r>
        <w:rPr>
          <w:spacing w:val="-11"/>
        </w:rPr>
        <w:t xml:space="preserve"> </w:t>
      </w:r>
      <w:r>
        <w:t>this</w:t>
      </w:r>
      <w:r>
        <w:rPr>
          <w:spacing w:val="-9"/>
        </w:rPr>
        <w:t xml:space="preserve"> </w:t>
      </w:r>
      <w:r>
        <w:t>effect.</w:t>
      </w:r>
    </w:p>
    <w:p w:rsidR="0087538C" w:rsidRDefault="0087538C">
      <w:pPr>
        <w:pStyle w:val="Pamatteksts"/>
        <w:spacing w:before="2"/>
      </w:pPr>
    </w:p>
    <w:p w:rsidR="0087538C" w:rsidRDefault="00851036">
      <w:pPr>
        <w:pStyle w:val="Sarakstarindkopa"/>
        <w:numPr>
          <w:ilvl w:val="0"/>
          <w:numId w:val="10"/>
        </w:numPr>
        <w:tabs>
          <w:tab w:val="left" w:pos="576"/>
        </w:tabs>
        <w:ind w:right="112" w:firstLine="0"/>
        <w:jc w:val="both"/>
      </w:pPr>
      <w:r>
        <w:t>The</w:t>
      </w:r>
      <w:r>
        <w:rPr>
          <w:spacing w:val="-3"/>
        </w:rPr>
        <w:t xml:space="preserve"> </w:t>
      </w:r>
      <w:r>
        <w:t>LTCS</w:t>
      </w:r>
      <w:r>
        <w:rPr>
          <w:spacing w:val="-4"/>
        </w:rPr>
        <w:t xml:space="preserve"> </w:t>
      </w:r>
      <w:r>
        <w:t>does</w:t>
      </w:r>
      <w:r>
        <w:rPr>
          <w:spacing w:val="-3"/>
        </w:rPr>
        <w:t xml:space="preserve"> </w:t>
      </w:r>
      <w:r>
        <w:t>not</w:t>
      </w:r>
      <w:r>
        <w:rPr>
          <w:spacing w:val="-2"/>
        </w:rPr>
        <w:t xml:space="preserve"> </w:t>
      </w:r>
      <w:r>
        <w:t>hinder</w:t>
      </w:r>
      <w:r>
        <w:rPr>
          <w:spacing w:val="-3"/>
        </w:rPr>
        <w:t xml:space="preserve"> </w:t>
      </w:r>
      <w:r>
        <w:t>an</w:t>
      </w:r>
      <w:r>
        <w:rPr>
          <w:spacing w:val="-3"/>
        </w:rPr>
        <w:t xml:space="preserve"> </w:t>
      </w:r>
      <w:r>
        <w:t>efficient</w:t>
      </w:r>
      <w:r>
        <w:rPr>
          <w:spacing w:val="-3"/>
        </w:rPr>
        <w:t xml:space="preserve"> </w:t>
      </w:r>
      <w:r>
        <w:t>long-term</w:t>
      </w:r>
      <w:r>
        <w:rPr>
          <w:spacing w:val="-4"/>
        </w:rPr>
        <w:t xml:space="preserve"> </w:t>
      </w:r>
      <w:r>
        <w:t>operation</w:t>
      </w:r>
      <w:r>
        <w:rPr>
          <w:spacing w:val="-4"/>
        </w:rPr>
        <w:t xml:space="preserve"> </w:t>
      </w:r>
      <w:r>
        <w:t>in</w:t>
      </w:r>
      <w:r>
        <w:rPr>
          <w:spacing w:val="-3"/>
        </w:rPr>
        <w:t xml:space="preserve"> </w:t>
      </w:r>
      <w:r>
        <w:t>Baltic</w:t>
      </w:r>
      <w:r>
        <w:rPr>
          <w:spacing w:val="-3"/>
        </w:rPr>
        <w:t xml:space="preserve"> </w:t>
      </w:r>
      <w:r>
        <w:t>CCR</w:t>
      </w:r>
      <w:r>
        <w:rPr>
          <w:spacing w:val="-4"/>
        </w:rPr>
        <w:t xml:space="preserve"> </w:t>
      </w:r>
      <w:r>
        <w:t>and</w:t>
      </w:r>
      <w:r>
        <w:rPr>
          <w:spacing w:val="-4"/>
        </w:rPr>
        <w:t xml:space="preserve"> </w:t>
      </w:r>
      <w:r>
        <w:t>adjacent</w:t>
      </w:r>
      <w:r>
        <w:rPr>
          <w:spacing w:val="-3"/>
        </w:rPr>
        <w:t xml:space="preserve"> </w:t>
      </w:r>
      <w:r>
        <w:t>CCRs,</w:t>
      </w:r>
      <w:r>
        <w:rPr>
          <w:spacing w:val="-2"/>
        </w:rPr>
        <w:t xml:space="preserve"> </w:t>
      </w:r>
      <w:r>
        <w:t>and the</w:t>
      </w:r>
      <w:r>
        <w:rPr>
          <w:spacing w:val="-16"/>
        </w:rPr>
        <w:t xml:space="preserve"> </w:t>
      </w:r>
      <w:r>
        <w:t>development</w:t>
      </w:r>
      <w:r>
        <w:rPr>
          <w:spacing w:val="-13"/>
        </w:rPr>
        <w:t xml:space="preserve"> </w:t>
      </w:r>
      <w:r>
        <w:t>of</w:t>
      </w:r>
      <w:r>
        <w:rPr>
          <w:spacing w:val="-16"/>
        </w:rPr>
        <w:t xml:space="preserve"> </w:t>
      </w:r>
      <w:r>
        <w:t>the</w:t>
      </w:r>
      <w:r>
        <w:rPr>
          <w:spacing w:val="-15"/>
        </w:rPr>
        <w:t xml:space="preserve"> </w:t>
      </w:r>
      <w:r>
        <w:t>transmission</w:t>
      </w:r>
      <w:r>
        <w:rPr>
          <w:spacing w:val="-14"/>
        </w:rPr>
        <w:t xml:space="preserve"> </w:t>
      </w:r>
      <w:r>
        <w:t>system</w:t>
      </w:r>
      <w:r>
        <w:rPr>
          <w:spacing w:val="-18"/>
        </w:rPr>
        <w:t xml:space="preserve"> </w:t>
      </w:r>
      <w:r>
        <w:t>in</w:t>
      </w:r>
      <w:r>
        <w:rPr>
          <w:spacing w:val="-13"/>
        </w:rPr>
        <w:t xml:space="preserve"> </w:t>
      </w:r>
      <w:r>
        <w:t>the</w:t>
      </w:r>
      <w:r>
        <w:rPr>
          <w:spacing w:val="-14"/>
        </w:rPr>
        <w:t xml:space="preserve"> </w:t>
      </w:r>
      <w:r>
        <w:t>European</w:t>
      </w:r>
      <w:r>
        <w:rPr>
          <w:spacing w:val="-11"/>
        </w:rPr>
        <w:t xml:space="preserve"> </w:t>
      </w:r>
      <w:r>
        <w:t>Union</w:t>
      </w:r>
      <w:r>
        <w:rPr>
          <w:spacing w:val="-17"/>
        </w:rPr>
        <w:t xml:space="preserve"> </w:t>
      </w:r>
      <w:r>
        <w:t>(Article</w:t>
      </w:r>
      <w:r>
        <w:rPr>
          <w:spacing w:val="-15"/>
        </w:rPr>
        <w:t xml:space="preserve"> </w:t>
      </w:r>
      <w:r>
        <w:t>3(g)</w:t>
      </w:r>
      <w:r>
        <w:rPr>
          <w:spacing w:val="-14"/>
        </w:rPr>
        <w:t xml:space="preserve"> </w:t>
      </w:r>
      <w:r>
        <w:t>of</w:t>
      </w:r>
      <w:r>
        <w:rPr>
          <w:spacing w:val="-16"/>
        </w:rPr>
        <w:t xml:space="preserve"> </w:t>
      </w:r>
      <w:r>
        <w:t>the</w:t>
      </w:r>
      <w:r>
        <w:rPr>
          <w:spacing w:val="-14"/>
        </w:rPr>
        <w:t xml:space="preserve"> </w:t>
      </w:r>
      <w:r>
        <w:t>FCA</w:t>
      </w:r>
      <w:r>
        <w:rPr>
          <w:spacing w:val="-13"/>
        </w:rPr>
        <w:t xml:space="preserve"> </w:t>
      </w:r>
      <w:r>
        <w:t>Regulation). The</w:t>
      </w:r>
      <w:r>
        <w:rPr>
          <w:spacing w:val="-6"/>
        </w:rPr>
        <w:t xml:space="preserve"> </w:t>
      </w:r>
      <w:r>
        <w:t>LTCS</w:t>
      </w:r>
      <w:r>
        <w:rPr>
          <w:spacing w:val="-6"/>
        </w:rPr>
        <w:t xml:space="preserve"> </w:t>
      </w:r>
      <w:r>
        <w:t>will</w:t>
      </w:r>
      <w:r>
        <w:rPr>
          <w:spacing w:val="-5"/>
        </w:rPr>
        <w:t xml:space="preserve"> </w:t>
      </w:r>
      <w:r>
        <w:t>support</w:t>
      </w:r>
      <w:r>
        <w:rPr>
          <w:spacing w:val="-4"/>
        </w:rPr>
        <w:t xml:space="preserve"> </w:t>
      </w:r>
      <w:r>
        <w:t>efficient</w:t>
      </w:r>
      <w:r>
        <w:rPr>
          <w:spacing w:val="-5"/>
        </w:rPr>
        <w:t xml:space="preserve"> </w:t>
      </w:r>
      <w:r>
        <w:t>pricing</w:t>
      </w:r>
      <w:r>
        <w:rPr>
          <w:spacing w:val="-9"/>
        </w:rPr>
        <w:t xml:space="preserve"> </w:t>
      </w:r>
      <w:r>
        <w:t>in</w:t>
      </w:r>
      <w:r>
        <w:rPr>
          <w:spacing w:val="-6"/>
        </w:rPr>
        <w:t xml:space="preserve"> </w:t>
      </w:r>
      <w:r>
        <w:t>the</w:t>
      </w:r>
      <w:r>
        <w:rPr>
          <w:spacing w:val="-5"/>
        </w:rPr>
        <w:t xml:space="preserve"> </w:t>
      </w:r>
      <w:r>
        <w:t>forward</w:t>
      </w:r>
      <w:r>
        <w:rPr>
          <w:spacing w:val="-9"/>
        </w:rPr>
        <w:t xml:space="preserve"> </w:t>
      </w:r>
      <w:r>
        <w:t>markets,</w:t>
      </w:r>
      <w:r>
        <w:rPr>
          <w:spacing w:val="-5"/>
        </w:rPr>
        <w:t xml:space="preserve"> </w:t>
      </w:r>
      <w:r>
        <w:t>providing</w:t>
      </w:r>
      <w:r>
        <w:rPr>
          <w:spacing w:val="-9"/>
        </w:rPr>
        <w:t xml:space="preserve"> </w:t>
      </w:r>
      <w:r>
        <w:t>the</w:t>
      </w:r>
      <w:r>
        <w:rPr>
          <w:spacing w:val="-7"/>
        </w:rPr>
        <w:t xml:space="preserve"> </w:t>
      </w:r>
      <w:r>
        <w:t>right</w:t>
      </w:r>
      <w:r>
        <w:rPr>
          <w:spacing w:val="-5"/>
        </w:rPr>
        <w:t xml:space="preserve"> </w:t>
      </w:r>
      <w:r>
        <w:t>signals</w:t>
      </w:r>
      <w:r>
        <w:rPr>
          <w:spacing w:val="-8"/>
        </w:rPr>
        <w:t xml:space="preserve"> </w:t>
      </w:r>
      <w:r>
        <w:t>from</w:t>
      </w:r>
      <w:r>
        <w:rPr>
          <w:spacing w:val="-9"/>
        </w:rPr>
        <w:t xml:space="preserve"> </w:t>
      </w:r>
      <w:r>
        <w:t>a</w:t>
      </w:r>
      <w:r>
        <w:rPr>
          <w:spacing w:val="-6"/>
        </w:rPr>
        <w:t xml:space="preserve"> </w:t>
      </w:r>
      <w:r>
        <w:t>long- term</w:t>
      </w:r>
      <w:r>
        <w:rPr>
          <w:spacing w:val="-4"/>
        </w:rPr>
        <w:t xml:space="preserve"> </w:t>
      </w:r>
      <w:r>
        <w:t>perspective.</w:t>
      </w:r>
    </w:p>
    <w:p w:rsidR="0087538C" w:rsidRDefault="0087538C">
      <w:pPr>
        <w:pStyle w:val="Pamatteksts"/>
      </w:pPr>
    </w:p>
    <w:p w:rsidR="0087538C" w:rsidRDefault="00851036">
      <w:pPr>
        <w:pStyle w:val="Sarakstarindkopa"/>
        <w:numPr>
          <w:ilvl w:val="0"/>
          <w:numId w:val="10"/>
        </w:numPr>
        <w:tabs>
          <w:tab w:val="left" w:pos="581"/>
        </w:tabs>
        <w:ind w:right="135" w:firstLine="0"/>
        <w:jc w:val="both"/>
      </w:pPr>
      <w:r>
        <w:t>In conclusion, the methodology for splitting rules contributes to the general objectives of the</w:t>
      </w:r>
      <w:r>
        <w:rPr>
          <w:spacing w:val="-36"/>
        </w:rPr>
        <w:t xml:space="preserve"> </w:t>
      </w:r>
      <w:r>
        <w:t>FCA Regulation to the benefit of market participants and electricity end</w:t>
      </w:r>
      <w:r>
        <w:rPr>
          <w:spacing w:val="-9"/>
        </w:rPr>
        <w:t xml:space="preserve"> </w:t>
      </w:r>
      <w:r>
        <w:t>consumers.</w:t>
      </w:r>
    </w:p>
    <w:p w:rsidR="0087538C" w:rsidRDefault="0087538C">
      <w:pPr>
        <w:pStyle w:val="Pamatteksts"/>
        <w:rPr>
          <w:sz w:val="24"/>
        </w:rPr>
      </w:pPr>
    </w:p>
    <w:p w:rsidR="0087538C" w:rsidRDefault="0087538C">
      <w:pPr>
        <w:pStyle w:val="Pamatteksts"/>
        <w:spacing w:before="10"/>
        <w:rPr>
          <w:sz w:val="19"/>
        </w:rPr>
      </w:pPr>
    </w:p>
    <w:p w:rsidR="0087538C" w:rsidRDefault="00851036">
      <w:pPr>
        <w:ind w:left="156" w:right="995"/>
        <w:rPr>
          <w:b/>
        </w:rPr>
      </w:pPr>
      <w:r>
        <w:rPr>
          <w:b/>
        </w:rPr>
        <w:t>SUBMIT THE FOLLOWING METHODOLOGY FOR SPLITTING RULES TO THE ESTONIAN AND LATVIAN BALTIC CCR REGULATORY AUTHORITIES:</w:t>
      </w:r>
    </w:p>
    <w:p w:rsidR="0087538C" w:rsidRDefault="0087538C">
      <w:pPr>
        <w:sectPr w:rsidR="0087538C">
          <w:pgSz w:w="11910" w:h="16840"/>
          <w:pgMar w:top="1320" w:right="1300" w:bottom="1120" w:left="1260" w:header="0" w:footer="920" w:gutter="0"/>
          <w:cols w:space="720"/>
        </w:sectPr>
      </w:pPr>
    </w:p>
    <w:p w:rsidR="0087538C" w:rsidRDefault="0087538C">
      <w:pPr>
        <w:pStyle w:val="Pamatteksts"/>
        <w:spacing w:before="9"/>
        <w:rPr>
          <w:b/>
          <w:sz w:val="8"/>
        </w:rPr>
      </w:pPr>
    </w:p>
    <w:p w:rsidR="0087538C" w:rsidRDefault="00851036">
      <w:pPr>
        <w:pStyle w:val="Virsraksts1"/>
        <w:spacing w:before="90"/>
        <w:ind w:left="407"/>
      </w:pPr>
      <w:r>
        <w:t>TITLE</w:t>
      </w:r>
      <w:r>
        <w:rPr>
          <w:spacing w:val="-1"/>
        </w:rPr>
        <w:t xml:space="preserve"> </w:t>
      </w:r>
      <w:r>
        <w:t>I</w:t>
      </w:r>
    </w:p>
    <w:p w:rsidR="0087538C" w:rsidRDefault="00851036">
      <w:pPr>
        <w:spacing w:before="120" w:line="343" w:lineRule="auto"/>
        <w:ind w:left="4249" w:right="4211" w:firstLine="3"/>
        <w:jc w:val="center"/>
        <w:rPr>
          <w:b/>
          <w:sz w:val="24"/>
        </w:rPr>
      </w:pPr>
      <w:r>
        <w:rPr>
          <w:b/>
          <w:sz w:val="24"/>
        </w:rPr>
        <w:t>General Article</w:t>
      </w:r>
      <w:r>
        <w:rPr>
          <w:b/>
          <w:spacing w:val="-4"/>
          <w:sz w:val="24"/>
        </w:rPr>
        <w:t xml:space="preserve"> </w:t>
      </w:r>
      <w:r>
        <w:rPr>
          <w:b/>
          <w:spacing w:val="-16"/>
          <w:sz w:val="24"/>
        </w:rPr>
        <w:t>1</w:t>
      </w:r>
    </w:p>
    <w:p w:rsidR="0087538C" w:rsidRDefault="00851036">
      <w:pPr>
        <w:spacing w:before="3"/>
        <w:ind w:left="405" w:right="367"/>
        <w:jc w:val="center"/>
        <w:rPr>
          <w:b/>
          <w:sz w:val="24"/>
        </w:rPr>
      </w:pPr>
      <w:r>
        <w:rPr>
          <w:b/>
          <w:sz w:val="24"/>
        </w:rPr>
        <w:t>Subject matter and scope</w:t>
      </w:r>
    </w:p>
    <w:p w:rsidR="0087538C" w:rsidRDefault="0087538C">
      <w:pPr>
        <w:pStyle w:val="Pamatteksts"/>
        <w:spacing w:before="11"/>
        <w:rPr>
          <w:b/>
          <w:sz w:val="23"/>
        </w:rPr>
      </w:pPr>
    </w:p>
    <w:p w:rsidR="0087538C" w:rsidRDefault="00851036">
      <w:pPr>
        <w:pStyle w:val="Sarakstarindkopa"/>
        <w:numPr>
          <w:ilvl w:val="0"/>
          <w:numId w:val="9"/>
        </w:numPr>
        <w:tabs>
          <w:tab w:val="left" w:pos="366"/>
        </w:tabs>
        <w:ind w:hanging="210"/>
        <w:jc w:val="both"/>
      </w:pPr>
      <w:r>
        <w:t>The</w:t>
      </w:r>
      <w:r>
        <w:rPr>
          <w:spacing w:val="-11"/>
        </w:rPr>
        <w:t xml:space="preserve"> </w:t>
      </w:r>
      <w:r>
        <w:t>LTCS</w:t>
      </w:r>
      <w:r>
        <w:rPr>
          <w:spacing w:val="-14"/>
        </w:rPr>
        <w:t xml:space="preserve"> </w:t>
      </w:r>
      <w:r>
        <w:t>is</w:t>
      </w:r>
      <w:r>
        <w:rPr>
          <w:spacing w:val="-12"/>
        </w:rPr>
        <w:t xml:space="preserve"> </w:t>
      </w:r>
      <w:r>
        <w:t>the</w:t>
      </w:r>
      <w:r>
        <w:rPr>
          <w:spacing w:val="-11"/>
        </w:rPr>
        <w:t xml:space="preserve"> </w:t>
      </w:r>
      <w:r>
        <w:t>methodology</w:t>
      </w:r>
      <w:r>
        <w:rPr>
          <w:spacing w:val="-13"/>
        </w:rPr>
        <w:t xml:space="preserve"> </w:t>
      </w:r>
      <w:r>
        <w:t>of</w:t>
      </w:r>
      <w:r>
        <w:rPr>
          <w:spacing w:val="-8"/>
        </w:rPr>
        <w:t xml:space="preserve"> </w:t>
      </w:r>
      <w:r>
        <w:t>Baltic</w:t>
      </w:r>
      <w:r>
        <w:rPr>
          <w:spacing w:val="-13"/>
        </w:rPr>
        <w:t xml:space="preserve"> </w:t>
      </w:r>
      <w:r>
        <w:t>CCR</w:t>
      </w:r>
      <w:r>
        <w:rPr>
          <w:spacing w:val="-11"/>
        </w:rPr>
        <w:t xml:space="preserve"> </w:t>
      </w:r>
      <w:r>
        <w:t>in</w:t>
      </w:r>
      <w:r>
        <w:rPr>
          <w:spacing w:val="-12"/>
        </w:rPr>
        <w:t xml:space="preserve"> </w:t>
      </w:r>
      <w:r>
        <w:t>accordance</w:t>
      </w:r>
      <w:r>
        <w:rPr>
          <w:spacing w:val="-12"/>
        </w:rPr>
        <w:t xml:space="preserve"> </w:t>
      </w:r>
      <w:r>
        <w:t>with</w:t>
      </w:r>
      <w:r>
        <w:rPr>
          <w:spacing w:val="-11"/>
        </w:rPr>
        <w:t xml:space="preserve"> </w:t>
      </w:r>
      <w:r>
        <w:t>Article</w:t>
      </w:r>
      <w:r>
        <w:rPr>
          <w:spacing w:val="-12"/>
        </w:rPr>
        <w:t xml:space="preserve"> </w:t>
      </w:r>
      <w:r>
        <w:t>16(2)</w:t>
      </w:r>
      <w:r>
        <w:rPr>
          <w:spacing w:val="-13"/>
        </w:rPr>
        <w:t xml:space="preserve"> </w:t>
      </w:r>
      <w:r>
        <w:t>of</w:t>
      </w:r>
      <w:r>
        <w:rPr>
          <w:spacing w:val="-11"/>
        </w:rPr>
        <w:t xml:space="preserve"> </w:t>
      </w:r>
      <w:r>
        <w:t>the</w:t>
      </w:r>
      <w:r>
        <w:rPr>
          <w:spacing w:val="-10"/>
        </w:rPr>
        <w:t xml:space="preserve"> </w:t>
      </w:r>
      <w:r>
        <w:t>FCA</w:t>
      </w:r>
      <w:r>
        <w:rPr>
          <w:spacing w:val="-12"/>
        </w:rPr>
        <w:t xml:space="preserve"> </w:t>
      </w:r>
      <w:r>
        <w:t>Regulation.</w:t>
      </w:r>
    </w:p>
    <w:p w:rsidR="0087538C" w:rsidRDefault="0087538C">
      <w:pPr>
        <w:pStyle w:val="Pamatteksts"/>
      </w:pPr>
    </w:p>
    <w:p w:rsidR="0087538C" w:rsidRDefault="00851036">
      <w:pPr>
        <w:pStyle w:val="Sarakstarindkopa"/>
        <w:numPr>
          <w:ilvl w:val="0"/>
          <w:numId w:val="9"/>
        </w:numPr>
        <w:tabs>
          <w:tab w:val="left" w:pos="378"/>
        </w:tabs>
        <w:ind w:left="377" w:hanging="222"/>
        <w:jc w:val="both"/>
      </w:pPr>
      <w:r>
        <w:t>This LTCS applies solely to the Estonian-Latvian bidding zones</w:t>
      </w:r>
      <w:r>
        <w:rPr>
          <w:spacing w:val="-10"/>
        </w:rPr>
        <w:t xml:space="preserve"> </w:t>
      </w:r>
      <w:r>
        <w:t>border.</w:t>
      </w:r>
    </w:p>
    <w:p w:rsidR="0087538C" w:rsidRDefault="0087538C">
      <w:pPr>
        <w:pStyle w:val="Pamatteksts"/>
        <w:spacing w:before="10"/>
        <w:rPr>
          <w:sz w:val="21"/>
        </w:rPr>
      </w:pPr>
    </w:p>
    <w:p w:rsidR="0087538C" w:rsidRDefault="00851036">
      <w:pPr>
        <w:pStyle w:val="Sarakstarindkopa"/>
        <w:numPr>
          <w:ilvl w:val="0"/>
          <w:numId w:val="9"/>
        </w:numPr>
        <w:tabs>
          <w:tab w:val="left" w:pos="370"/>
        </w:tabs>
        <w:spacing w:line="242" w:lineRule="auto"/>
        <w:ind w:left="156" w:right="115" w:firstLine="0"/>
        <w:jc w:val="both"/>
      </w:pPr>
      <w:r>
        <w:t>This</w:t>
      </w:r>
      <w:r>
        <w:rPr>
          <w:spacing w:val="-7"/>
        </w:rPr>
        <w:t xml:space="preserve"> </w:t>
      </w:r>
      <w:r>
        <w:t>LTCS</w:t>
      </w:r>
      <w:r>
        <w:rPr>
          <w:spacing w:val="-8"/>
        </w:rPr>
        <w:t xml:space="preserve"> </w:t>
      </w:r>
      <w:r>
        <w:t>covers</w:t>
      </w:r>
      <w:r>
        <w:rPr>
          <w:spacing w:val="-9"/>
        </w:rPr>
        <w:t xml:space="preserve"> </w:t>
      </w:r>
      <w:r>
        <w:t>the</w:t>
      </w:r>
      <w:r>
        <w:rPr>
          <w:spacing w:val="-7"/>
        </w:rPr>
        <w:t xml:space="preserve"> </w:t>
      </w:r>
      <w:r>
        <w:t>methodology</w:t>
      </w:r>
      <w:r>
        <w:rPr>
          <w:spacing w:val="-10"/>
        </w:rPr>
        <w:t xml:space="preserve"> </w:t>
      </w:r>
      <w:r>
        <w:t>for</w:t>
      </w:r>
      <w:r>
        <w:rPr>
          <w:spacing w:val="-7"/>
        </w:rPr>
        <w:t xml:space="preserve"> </w:t>
      </w:r>
      <w:r>
        <w:t>balancing</w:t>
      </w:r>
      <w:r>
        <w:rPr>
          <w:spacing w:val="-10"/>
        </w:rPr>
        <w:t xml:space="preserve"> </w:t>
      </w:r>
      <w:r>
        <w:t>the</w:t>
      </w:r>
      <w:r>
        <w:rPr>
          <w:spacing w:val="-10"/>
        </w:rPr>
        <w:t xml:space="preserve"> </w:t>
      </w:r>
      <w:r>
        <w:t>risk</w:t>
      </w:r>
      <w:r>
        <w:rPr>
          <w:spacing w:val="-10"/>
        </w:rPr>
        <w:t xml:space="preserve"> </w:t>
      </w:r>
      <w:r>
        <w:t>of</w:t>
      </w:r>
      <w:r>
        <w:rPr>
          <w:spacing w:val="-7"/>
        </w:rPr>
        <w:t xml:space="preserve"> </w:t>
      </w:r>
      <w:r>
        <w:t>underselling</w:t>
      </w:r>
      <w:r>
        <w:rPr>
          <w:spacing w:val="-10"/>
        </w:rPr>
        <w:t xml:space="preserve"> </w:t>
      </w:r>
      <w:r>
        <w:t>against</w:t>
      </w:r>
      <w:r>
        <w:rPr>
          <w:spacing w:val="-8"/>
        </w:rPr>
        <w:t xml:space="preserve"> </w:t>
      </w:r>
      <w:r>
        <w:t>the</w:t>
      </w:r>
      <w:r>
        <w:rPr>
          <w:spacing w:val="-7"/>
        </w:rPr>
        <w:t xml:space="preserve"> </w:t>
      </w:r>
      <w:r>
        <w:t>benefit,</w:t>
      </w:r>
      <w:r>
        <w:rPr>
          <w:spacing w:val="-10"/>
        </w:rPr>
        <w:t xml:space="preserve"> </w:t>
      </w:r>
      <w:r>
        <w:t>in</w:t>
      </w:r>
      <w:r>
        <w:rPr>
          <w:spacing w:val="-7"/>
        </w:rPr>
        <w:t xml:space="preserve"> </w:t>
      </w:r>
      <w:r>
        <w:t>terms of hedging, of allocating LTTR to the</w:t>
      </w:r>
      <w:r>
        <w:rPr>
          <w:spacing w:val="-11"/>
        </w:rPr>
        <w:t xml:space="preserve"> </w:t>
      </w:r>
      <w:r>
        <w:t>market.</w:t>
      </w:r>
    </w:p>
    <w:p w:rsidR="0087538C" w:rsidRDefault="0087538C">
      <w:pPr>
        <w:pStyle w:val="Pamatteksts"/>
        <w:rPr>
          <w:sz w:val="23"/>
        </w:rPr>
      </w:pPr>
    </w:p>
    <w:p w:rsidR="0087538C" w:rsidRDefault="00851036">
      <w:pPr>
        <w:pStyle w:val="Sarakstarindkopa"/>
        <w:numPr>
          <w:ilvl w:val="0"/>
          <w:numId w:val="9"/>
        </w:numPr>
        <w:tabs>
          <w:tab w:val="left" w:pos="368"/>
        </w:tabs>
        <w:ind w:left="156" w:right="110" w:firstLine="0"/>
        <w:jc w:val="both"/>
      </w:pPr>
      <w:r>
        <w:t>This</w:t>
      </w:r>
      <w:r>
        <w:rPr>
          <w:spacing w:val="-13"/>
        </w:rPr>
        <w:t xml:space="preserve"> </w:t>
      </w:r>
      <w:r>
        <w:t>LTCS</w:t>
      </w:r>
      <w:r>
        <w:rPr>
          <w:spacing w:val="-11"/>
        </w:rPr>
        <w:t xml:space="preserve"> </w:t>
      </w:r>
      <w:r>
        <w:t>covers</w:t>
      </w:r>
      <w:r>
        <w:rPr>
          <w:spacing w:val="-13"/>
        </w:rPr>
        <w:t xml:space="preserve"> </w:t>
      </w:r>
      <w:r>
        <w:t>the</w:t>
      </w:r>
      <w:r>
        <w:rPr>
          <w:spacing w:val="-11"/>
        </w:rPr>
        <w:t xml:space="preserve"> </w:t>
      </w:r>
      <w:r>
        <w:t>methodology</w:t>
      </w:r>
      <w:r>
        <w:rPr>
          <w:spacing w:val="-13"/>
        </w:rPr>
        <w:t xml:space="preserve"> </w:t>
      </w:r>
      <w:r>
        <w:t>for</w:t>
      </w:r>
      <w:r>
        <w:rPr>
          <w:spacing w:val="-10"/>
        </w:rPr>
        <w:t xml:space="preserve"> </w:t>
      </w:r>
      <w:r>
        <w:t>splitting</w:t>
      </w:r>
      <w:r>
        <w:rPr>
          <w:spacing w:val="-11"/>
        </w:rPr>
        <w:t xml:space="preserve"> </w:t>
      </w:r>
      <w:r>
        <w:t>capacity</w:t>
      </w:r>
      <w:r>
        <w:rPr>
          <w:spacing w:val="-13"/>
        </w:rPr>
        <w:t xml:space="preserve"> </w:t>
      </w:r>
      <w:r>
        <w:t>calculated</w:t>
      </w:r>
      <w:r>
        <w:rPr>
          <w:spacing w:val="-13"/>
        </w:rPr>
        <w:t xml:space="preserve"> </w:t>
      </w:r>
      <w:r>
        <w:t>as</w:t>
      </w:r>
      <w:r>
        <w:rPr>
          <w:spacing w:val="-11"/>
        </w:rPr>
        <w:t xml:space="preserve"> </w:t>
      </w:r>
      <w:r>
        <w:t>long-term</w:t>
      </w:r>
      <w:r>
        <w:rPr>
          <w:spacing w:val="-12"/>
        </w:rPr>
        <w:t xml:space="preserve"> </w:t>
      </w:r>
      <w:r>
        <w:t>cross-zonal</w:t>
      </w:r>
      <w:r>
        <w:rPr>
          <w:spacing w:val="-10"/>
        </w:rPr>
        <w:t xml:space="preserve"> </w:t>
      </w:r>
      <w:r>
        <w:t>capacity for the long-term time frame, for which the LTTR are foreseen in the regional design of long-term transmission rights pursuant to Article 31 of FCA</w:t>
      </w:r>
      <w:r>
        <w:rPr>
          <w:spacing w:val="-4"/>
        </w:rPr>
        <w:t xml:space="preserve"> </w:t>
      </w:r>
      <w:r>
        <w:t>Regulation.</w:t>
      </w:r>
    </w:p>
    <w:p w:rsidR="0087538C" w:rsidRDefault="0087538C">
      <w:pPr>
        <w:pStyle w:val="Pamatteksts"/>
        <w:spacing w:before="1"/>
      </w:pPr>
    </w:p>
    <w:p w:rsidR="0087538C" w:rsidRDefault="00851036">
      <w:pPr>
        <w:pStyle w:val="Sarakstarindkopa"/>
        <w:numPr>
          <w:ilvl w:val="0"/>
          <w:numId w:val="9"/>
        </w:numPr>
        <w:tabs>
          <w:tab w:val="left" w:pos="375"/>
        </w:tabs>
        <w:ind w:left="156" w:right="114" w:firstLine="0"/>
        <w:jc w:val="both"/>
      </w:pPr>
      <w:r>
        <w:t>Splitted</w:t>
      </w:r>
      <w:r>
        <w:rPr>
          <w:spacing w:val="-7"/>
        </w:rPr>
        <w:t xml:space="preserve"> </w:t>
      </w:r>
      <w:r>
        <w:t>long-term</w:t>
      </w:r>
      <w:r>
        <w:rPr>
          <w:spacing w:val="-7"/>
        </w:rPr>
        <w:t xml:space="preserve"> </w:t>
      </w:r>
      <w:r>
        <w:t>cross-zonal</w:t>
      </w:r>
      <w:r>
        <w:rPr>
          <w:spacing w:val="-4"/>
        </w:rPr>
        <w:t xml:space="preserve"> </w:t>
      </w:r>
      <w:r>
        <w:t>capacity</w:t>
      </w:r>
      <w:r>
        <w:rPr>
          <w:spacing w:val="-6"/>
        </w:rPr>
        <w:t xml:space="preserve"> </w:t>
      </w:r>
      <w:r>
        <w:t>according</w:t>
      </w:r>
      <w:r>
        <w:rPr>
          <w:spacing w:val="-9"/>
        </w:rPr>
        <w:t xml:space="preserve"> </w:t>
      </w:r>
      <w:r>
        <w:t>to</w:t>
      </w:r>
      <w:r>
        <w:rPr>
          <w:spacing w:val="-7"/>
        </w:rPr>
        <w:t xml:space="preserve"> </w:t>
      </w:r>
      <w:r>
        <w:t>this</w:t>
      </w:r>
      <w:r>
        <w:rPr>
          <w:spacing w:val="-3"/>
        </w:rPr>
        <w:t xml:space="preserve"> </w:t>
      </w:r>
      <w:r>
        <w:t>methodology</w:t>
      </w:r>
      <w:r>
        <w:rPr>
          <w:spacing w:val="-6"/>
        </w:rPr>
        <w:t xml:space="preserve"> </w:t>
      </w:r>
      <w:r>
        <w:t>shall</w:t>
      </w:r>
      <w:r>
        <w:rPr>
          <w:spacing w:val="-4"/>
        </w:rPr>
        <w:t xml:space="preserve"> </w:t>
      </w:r>
      <w:r>
        <w:t>be</w:t>
      </w:r>
      <w:r>
        <w:rPr>
          <w:spacing w:val="-6"/>
        </w:rPr>
        <w:t xml:space="preserve"> </w:t>
      </w:r>
      <w:r>
        <w:t>auctioned</w:t>
      </w:r>
      <w:r>
        <w:rPr>
          <w:spacing w:val="-6"/>
        </w:rPr>
        <w:t xml:space="preserve"> </w:t>
      </w:r>
      <w:r>
        <w:t>as</w:t>
      </w:r>
      <w:r>
        <w:rPr>
          <w:spacing w:val="-6"/>
        </w:rPr>
        <w:t xml:space="preserve"> </w:t>
      </w:r>
      <w:r>
        <w:t>financial transmission rights only. No long-term physical transmission rights auctioning and allocation is foreseen.</w:t>
      </w:r>
    </w:p>
    <w:p w:rsidR="0087538C" w:rsidRDefault="0087538C">
      <w:pPr>
        <w:pStyle w:val="Pamatteksts"/>
        <w:spacing w:before="4"/>
        <w:rPr>
          <w:sz w:val="32"/>
        </w:rPr>
      </w:pPr>
    </w:p>
    <w:p w:rsidR="00B06E12" w:rsidRDefault="00851036" w:rsidP="00B06E12">
      <w:pPr>
        <w:pStyle w:val="Virsraksts1"/>
        <w:spacing w:line="343" w:lineRule="auto"/>
        <w:ind w:left="3159" w:right="3123" w:firstLine="1094"/>
        <w:jc w:val="left"/>
      </w:pPr>
      <w:r>
        <w:t xml:space="preserve">Article 2 </w:t>
      </w:r>
    </w:p>
    <w:p w:rsidR="0087538C" w:rsidRDefault="00851036" w:rsidP="00B06E12">
      <w:pPr>
        <w:pStyle w:val="Virsraksts1"/>
        <w:spacing w:line="343" w:lineRule="auto"/>
        <w:ind w:left="3159" w:right="3123"/>
        <w:jc w:val="left"/>
      </w:pPr>
      <w:r>
        <w:t>Definitions and interpretation</w:t>
      </w:r>
    </w:p>
    <w:p w:rsidR="0087538C" w:rsidRDefault="00851036">
      <w:pPr>
        <w:pStyle w:val="Sarakstarindkopa"/>
        <w:numPr>
          <w:ilvl w:val="0"/>
          <w:numId w:val="8"/>
        </w:numPr>
        <w:tabs>
          <w:tab w:val="left" w:pos="378"/>
        </w:tabs>
        <w:spacing w:before="159"/>
        <w:ind w:right="109" w:firstLine="0"/>
        <w:jc w:val="both"/>
      </w:pPr>
      <w:r>
        <w:t>For</w:t>
      </w:r>
      <w:r>
        <w:rPr>
          <w:spacing w:val="-3"/>
        </w:rPr>
        <w:t xml:space="preserve"> </w:t>
      </w:r>
      <w:r>
        <w:t>the</w:t>
      </w:r>
      <w:r>
        <w:rPr>
          <w:spacing w:val="-3"/>
        </w:rPr>
        <w:t xml:space="preserve"> </w:t>
      </w:r>
      <w:r>
        <w:t>purposes</w:t>
      </w:r>
      <w:r>
        <w:rPr>
          <w:spacing w:val="-2"/>
        </w:rPr>
        <w:t xml:space="preserve"> </w:t>
      </w:r>
      <w:r>
        <w:t>of</w:t>
      </w:r>
      <w:r>
        <w:rPr>
          <w:spacing w:val="-3"/>
        </w:rPr>
        <w:t xml:space="preserve"> </w:t>
      </w:r>
      <w:r>
        <w:t>the</w:t>
      </w:r>
      <w:r>
        <w:rPr>
          <w:spacing w:val="-3"/>
        </w:rPr>
        <w:t xml:space="preserve"> </w:t>
      </w:r>
      <w:r>
        <w:t>Proposal,</w:t>
      </w:r>
      <w:r>
        <w:rPr>
          <w:spacing w:val="-3"/>
        </w:rPr>
        <w:t xml:space="preserve"> </w:t>
      </w:r>
      <w:r>
        <w:t>the</w:t>
      </w:r>
      <w:r>
        <w:rPr>
          <w:spacing w:val="-3"/>
        </w:rPr>
        <w:t xml:space="preserve"> </w:t>
      </w:r>
      <w:r>
        <w:t>terms</w:t>
      </w:r>
      <w:r>
        <w:rPr>
          <w:spacing w:val="-1"/>
        </w:rPr>
        <w:t xml:space="preserve"> </w:t>
      </w:r>
      <w:r>
        <w:t>used</w:t>
      </w:r>
      <w:r>
        <w:rPr>
          <w:spacing w:val="-2"/>
        </w:rPr>
        <w:t xml:space="preserve"> </w:t>
      </w:r>
      <w:r>
        <w:t>shall have</w:t>
      </w:r>
      <w:r>
        <w:rPr>
          <w:spacing w:val="-3"/>
        </w:rPr>
        <w:t xml:space="preserve"> </w:t>
      </w:r>
      <w:r>
        <w:t>the</w:t>
      </w:r>
      <w:r>
        <w:rPr>
          <w:spacing w:val="-2"/>
        </w:rPr>
        <w:t xml:space="preserve"> </w:t>
      </w:r>
      <w:r>
        <w:t>meaning</w:t>
      </w:r>
      <w:r>
        <w:rPr>
          <w:spacing w:val="-4"/>
        </w:rPr>
        <w:t xml:space="preserve"> </w:t>
      </w:r>
      <w:r>
        <w:t>given</w:t>
      </w:r>
      <w:r>
        <w:rPr>
          <w:spacing w:val="-1"/>
        </w:rPr>
        <w:t xml:space="preserve"> </w:t>
      </w:r>
      <w:r>
        <w:t>to</w:t>
      </w:r>
      <w:r>
        <w:rPr>
          <w:spacing w:val="-3"/>
        </w:rPr>
        <w:t xml:space="preserve"> </w:t>
      </w:r>
      <w:r>
        <w:t>them in</w:t>
      </w:r>
      <w:r>
        <w:rPr>
          <w:spacing w:val="-4"/>
        </w:rPr>
        <w:t xml:space="preserve"> </w:t>
      </w:r>
      <w:r>
        <w:t>Article</w:t>
      </w:r>
      <w:r>
        <w:rPr>
          <w:spacing w:val="-2"/>
        </w:rPr>
        <w:t xml:space="preserve"> </w:t>
      </w:r>
      <w:r>
        <w:t>2</w:t>
      </w:r>
      <w:r>
        <w:rPr>
          <w:spacing w:val="-3"/>
        </w:rPr>
        <w:t xml:space="preserve"> </w:t>
      </w:r>
      <w:r>
        <w:t>of Regulation</w:t>
      </w:r>
      <w:r>
        <w:rPr>
          <w:spacing w:val="-9"/>
        </w:rPr>
        <w:t xml:space="preserve"> </w:t>
      </w:r>
      <w:r>
        <w:t>(EC)</w:t>
      </w:r>
      <w:r>
        <w:rPr>
          <w:spacing w:val="-8"/>
        </w:rPr>
        <w:t xml:space="preserve"> </w:t>
      </w:r>
      <w:r>
        <w:t>714/2009</w:t>
      </w:r>
      <w:r>
        <w:rPr>
          <w:spacing w:val="-10"/>
        </w:rPr>
        <w:t xml:space="preserve"> </w:t>
      </w:r>
      <w:r>
        <w:t>of</w:t>
      </w:r>
      <w:r>
        <w:rPr>
          <w:spacing w:val="-8"/>
        </w:rPr>
        <w:t xml:space="preserve"> </w:t>
      </w:r>
      <w:r>
        <w:t>the</w:t>
      </w:r>
      <w:r>
        <w:rPr>
          <w:spacing w:val="-8"/>
        </w:rPr>
        <w:t xml:space="preserve"> </w:t>
      </w:r>
      <w:r>
        <w:t>European</w:t>
      </w:r>
      <w:r>
        <w:rPr>
          <w:spacing w:val="-8"/>
        </w:rPr>
        <w:t xml:space="preserve"> </w:t>
      </w:r>
      <w:r>
        <w:t>Parliament</w:t>
      </w:r>
      <w:r>
        <w:rPr>
          <w:spacing w:val="-7"/>
        </w:rPr>
        <w:t xml:space="preserve"> </w:t>
      </w:r>
      <w:r>
        <w:t>and</w:t>
      </w:r>
      <w:r>
        <w:rPr>
          <w:spacing w:val="-6"/>
        </w:rPr>
        <w:t xml:space="preserve"> </w:t>
      </w:r>
      <w:r>
        <w:t>of</w:t>
      </w:r>
      <w:r>
        <w:rPr>
          <w:spacing w:val="-3"/>
        </w:rPr>
        <w:t xml:space="preserve"> </w:t>
      </w:r>
      <w:r>
        <w:t>the</w:t>
      </w:r>
      <w:r>
        <w:rPr>
          <w:spacing w:val="-8"/>
        </w:rPr>
        <w:t xml:space="preserve"> </w:t>
      </w:r>
      <w:r>
        <w:t>Council</w:t>
      </w:r>
      <w:r>
        <w:rPr>
          <w:spacing w:val="-5"/>
        </w:rPr>
        <w:t xml:space="preserve"> </w:t>
      </w:r>
      <w:r>
        <w:t>of</w:t>
      </w:r>
      <w:r>
        <w:rPr>
          <w:spacing w:val="-4"/>
        </w:rPr>
        <w:t xml:space="preserve"> </w:t>
      </w:r>
      <w:r>
        <w:t>13</w:t>
      </w:r>
      <w:r>
        <w:rPr>
          <w:spacing w:val="-11"/>
        </w:rPr>
        <w:t xml:space="preserve"> </w:t>
      </w:r>
      <w:r>
        <w:t>July</w:t>
      </w:r>
      <w:r>
        <w:rPr>
          <w:spacing w:val="-9"/>
        </w:rPr>
        <w:t xml:space="preserve"> </w:t>
      </w:r>
      <w:r>
        <w:t>2009</w:t>
      </w:r>
      <w:r>
        <w:rPr>
          <w:spacing w:val="-5"/>
        </w:rPr>
        <w:t xml:space="preserve"> </w:t>
      </w:r>
      <w:r>
        <w:t>on</w:t>
      </w:r>
      <w:r>
        <w:rPr>
          <w:spacing w:val="-7"/>
        </w:rPr>
        <w:t xml:space="preserve"> </w:t>
      </w:r>
      <w:r>
        <w:t>conditions for access to the network for cross border exchanges in electricity and repealing Regulation (EC) no 1228/2003, Article 2 of the FCA Regulation, Article 2 of the CACM Regulation, Article 2 of the Harmonised</w:t>
      </w:r>
      <w:r>
        <w:rPr>
          <w:spacing w:val="-16"/>
        </w:rPr>
        <w:t xml:space="preserve"> </w:t>
      </w:r>
      <w:r>
        <w:t>Allocation</w:t>
      </w:r>
      <w:r>
        <w:rPr>
          <w:spacing w:val="-16"/>
        </w:rPr>
        <w:t xml:space="preserve"> </w:t>
      </w:r>
      <w:r>
        <w:t>Rules</w:t>
      </w:r>
      <w:r>
        <w:rPr>
          <w:spacing w:val="-15"/>
        </w:rPr>
        <w:t xml:space="preserve"> </w:t>
      </w:r>
      <w:r>
        <w:t>for</w:t>
      </w:r>
      <w:r>
        <w:rPr>
          <w:spacing w:val="-18"/>
        </w:rPr>
        <w:t xml:space="preserve"> </w:t>
      </w:r>
      <w:r>
        <w:t>long</w:t>
      </w:r>
      <w:r>
        <w:rPr>
          <w:rFonts w:ascii="MS Gothic" w:hAnsi="MS Gothic"/>
        </w:rPr>
        <w:t>‐</w:t>
      </w:r>
      <w:r>
        <w:t>term</w:t>
      </w:r>
      <w:r>
        <w:rPr>
          <w:spacing w:val="-19"/>
        </w:rPr>
        <w:t xml:space="preserve"> </w:t>
      </w:r>
      <w:r>
        <w:t>transmissioon</w:t>
      </w:r>
      <w:r>
        <w:rPr>
          <w:spacing w:val="-14"/>
        </w:rPr>
        <w:t xml:space="preserve"> </w:t>
      </w:r>
      <w:r>
        <w:t>rights</w:t>
      </w:r>
      <w:r>
        <w:rPr>
          <w:spacing w:val="-15"/>
        </w:rPr>
        <w:t xml:space="preserve"> </w:t>
      </w:r>
      <w:r>
        <w:t>in</w:t>
      </w:r>
      <w:r>
        <w:rPr>
          <w:spacing w:val="-17"/>
        </w:rPr>
        <w:t xml:space="preserve"> </w:t>
      </w:r>
      <w:r>
        <w:t>accordance</w:t>
      </w:r>
      <w:r>
        <w:rPr>
          <w:spacing w:val="-15"/>
        </w:rPr>
        <w:t xml:space="preserve"> </w:t>
      </w:r>
      <w:r>
        <w:t>with</w:t>
      </w:r>
      <w:r>
        <w:rPr>
          <w:spacing w:val="-16"/>
        </w:rPr>
        <w:t xml:space="preserve"> </w:t>
      </w:r>
      <w:r>
        <w:t>Article</w:t>
      </w:r>
      <w:r>
        <w:rPr>
          <w:spacing w:val="-16"/>
        </w:rPr>
        <w:t xml:space="preserve"> </w:t>
      </w:r>
      <w:r>
        <w:t>51</w:t>
      </w:r>
      <w:r>
        <w:rPr>
          <w:spacing w:val="-16"/>
        </w:rPr>
        <w:t xml:space="preserve"> </w:t>
      </w:r>
      <w:r>
        <w:t>of</w:t>
      </w:r>
      <w:r>
        <w:rPr>
          <w:spacing w:val="27"/>
        </w:rPr>
        <w:t xml:space="preserve"> </w:t>
      </w:r>
      <w:r>
        <w:t>FCA Regulation (EU) and Article 2 of Commission Regulation (EU) No 543/2013 of 14 June 2013 on submission</w:t>
      </w:r>
      <w:r>
        <w:rPr>
          <w:spacing w:val="-4"/>
        </w:rPr>
        <w:t xml:space="preserve"> </w:t>
      </w:r>
      <w:r>
        <w:t>and</w:t>
      </w:r>
      <w:r>
        <w:rPr>
          <w:spacing w:val="-4"/>
        </w:rPr>
        <w:t xml:space="preserve"> </w:t>
      </w:r>
      <w:r>
        <w:t>publication</w:t>
      </w:r>
      <w:r>
        <w:rPr>
          <w:spacing w:val="-5"/>
        </w:rPr>
        <w:t xml:space="preserve"> </w:t>
      </w:r>
      <w:r>
        <w:t>of</w:t>
      </w:r>
      <w:r>
        <w:rPr>
          <w:spacing w:val="-3"/>
        </w:rPr>
        <w:t xml:space="preserve"> </w:t>
      </w:r>
      <w:r>
        <w:t>data</w:t>
      </w:r>
      <w:r>
        <w:rPr>
          <w:spacing w:val="-2"/>
        </w:rPr>
        <w:t xml:space="preserve"> </w:t>
      </w:r>
      <w:r>
        <w:t>in</w:t>
      </w:r>
      <w:r>
        <w:rPr>
          <w:spacing w:val="-2"/>
        </w:rPr>
        <w:t xml:space="preserve"> </w:t>
      </w:r>
      <w:r>
        <w:t>electricity</w:t>
      </w:r>
      <w:r>
        <w:rPr>
          <w:spacing w:val="-6"/>
        </w:rPr>
        <w:t xml:space="preserve"> </w:t>
      </w:r>
      <w:r>
        <w:t>markets</w:t>
      </w:r>
      <w:r>
        <w:rPr>
          <w:spacing w:val="-2"/>
        </w:rPr>
        <w:t xml:space="preserve"> </w:t>
      </w:r>
      <w:r>
        <w:t>and</w:t>
      </w:r>
      <w:r>
        <w:rPr>
          <w:spacing w:val="-3"/>
        </w:rPr>
        <w:t xml:space="preserve"> </w:t>
      </w:r>
      <w:r>
        <w:t>amending</w:t>
      </w:r>
      <w:r>
        <w:rPr>
          <w:spacing w:val="-5"/>
        </w:rPr>
        <w:t xml:space="preserve"> </w:t>
      </w:r>
      <w:r>
        <w:t>Annex</w:t>
      </w:r>
      <w:r>
        <w:rPr>
          <w:spacing w:val="-3"/>
        </w:rPr>
        <w:t xml:space="preserve"> </w:t>
      </w:r>
      <w:r>
        <w:t>I</w:t>
      </w:r>
      <w:r>
        <w:rPr>
          <w:spacing w:val="-7"/>
        </w:rPr>
        <w:t xml:space="preserve"> </w:t>
      </w:r>
      <w:r>
        <w:t>to</w:t>
      </w:r>
      <w:r>
        <w:rPr>
          <w:spacing w:val="-1"/>
        </w:rPr>
        <w:t xml:space="preserve"> </w:t>
      </w:r>
      <w:r>
        <w:t>Regulation</w:t>
      </w:r>
      <w:r>
        <w:rPr>
          <w:spacing w:val="-4"/>
        </w:rPr>
        <w:t xml:space="preserve"> </w:t>
      </w:r>
      <w:r>
        <w:t>(EC)</w:t>
      </w:r>
      <w:r>
        <w:rPr>
          <w:spacing w:val="-2"/>
        </w:rPr>
        <w:t xml:space="preserve"> </w:t>
      </w:r>
      <w:r>
        <w:t>No 714/2009 of the European Parliament and of the Council (hereafter referred to as "Transparency Regulation")</w:t>
      </w:r>
      <w:r>
        <w:rPr>
          <w:spacing w:val="-8"/>
        </w:rPr>
        <w:t xml:space="preserve"> </w:t>
      </w:r>
      <w:r>
        <w:t>and</w:t>
      </w:r>
      <w:r>
        <w:rPr>
          <w:spacing w:val="-9"/>
        </w:rPr>
        <w:t xml:space="preserve"> </w:t>
      </w:r>
      <w:r>
        <w:t>Article</w:t>
      </w:r>
      <w:r>
        <w:rPr>
          <w:spacing w:val="-11"/>
        </w:rPr>
        <w:t xml:space="preserve"> </w:t>
      </w:r>
      <w:r>
        <w:t>2</w:t>
      </w:r>
      <w:r>
        <w:rPr>
          <w:spacing w:val="-9"/>
        </w:rPr>
        <w:t xml:space="preserve"> </w:t>
      </w:r>
      <w:r>
        <w:t>of</w:t>
      </w:r>
      <w:r>
        <w:rPr>
          <w:spacing w:val="-8"/>
        </w:rPr>
        <w:t xml:space="preserve"> </w:t>
      </w:r>
      <w:r>
        <w:t>capacity</w:t>
      </w:r>
      <w:r>
        <w:rPr>
          <w:spacing w:val="-11"/>
        </w:rPr>
        <w:t xml:space="preserve"> </w:t>
      </w:r>
      <w:r>
        <w:t>calculation</w:t>
      </w:r>
      <w:r>
        <w:rPr>
          <w:spacing w:val="-9"/>
        </w:rPr>
        <w:t xml:space="preserve"> </w:t>
      </w:r>
      <w:r>
        <w:t>methodology</w:t>
      </w:r>
      <w:r>
        <w:rPr>
          <w:spacing w:val="-11"/>
        </w:rPr>
        <w:t xml:space="preserve"> </w:t>
      </w:r>
      <w:r>
        <w:t>developed</w:t>
      </w:r>
      <w:r>
        <w:rPr>
          <w:spacing w:val="-11"/>
        </w:rPr>
        <w:t xml:space="preserve"> </w:t>
      </w:r>
      <w:r>
        <w:t>in</w:t>
      </w:r>
      <w:r>
        <w:rPr>
          <w:spacing w:val="-8"/>
        </w:rPr>
        <w:t xml:space="preserve"> </w:t>
      </w:r>
      <w:r>
        <w:t>Baltic</w:t>
      </w:r>
      <w:r>
        <w:rPr>
          <w:spacing w:val="-7"/>
        </w:rPr>
        <w:t xml:space="preserve"> </w:t>
      </w:r>
      <w:r>
        <w:t>CCR</w:t>
      </w:r>
      <w:r>
        <w:rPr>
          <w:spacing w:val="35"/>
        </w:rPr>
        <w:t xml:space="preserve"> </w:t>
      </w:r>
      <w:r>
        <w:t>in</w:t>
      </w:r>
      <w:r>
        <w:rPr>
          <w:spacing w:val="-11"/>
        </w:rPr>
        <w:t xml:space="preserve"> </w:t>
      </w:r>
      <w:r>
        <w:t>accordance with Article 20(2) of the CACM Regulation.</w:t>
      </w:r>
    </w:p>
    <w:p w:rsidR="0087538C" w:rsidRDefault="0087538C">
      <w:pPr>
        <w:pStyle w:val="Pamatteksts"/>
        <w:spacing w:before="3"/>
      </w:pPr>
    </w:p>
    <w:p w:rsidR="0087538C" w:rsidRDefault="00851036">
      <w:pPr>
        <w:pStyle w:val="Sarakstarindkopa"/>
        <w:numPr>
          <w:ilvl w:val="0"/>
          <w:numId w:val="8"/>
        </w:numPr>
        <w:tabs>
          <w:tab w:val="left" w:pos="378"/>
        </w:tabs>
        <w:ind w:left="377" w:hanging="222"/>
      </w:pPr>
      <w:r>
        <w:t>In addition, in this LTCS, the following terms shall have the meaning</w:t>
      </w:r>
      <w:r>
        <w:rPr>
          <w:spacing w:val="-15"/>
        </w:rPr>
        <w:t xml:space="preserve"> </w:t>
      </w:r>
      <w:r>
        <w:t>below:</w:t>
      </w:r>
    </w:p>
    <w:p w:rsidR="0087538C" w:rsidRDefault="00851036">
      <w:pPr>
        <w:pStyle w:val="Sarakstarindkopa"/>
        <w:numPr>
          <w:ilvl w:val="1"/>
          <w:numId w:val="8"/>
        </w:numPr>
        <w:tabs>
          <w:tab w:val="left" w:pos="1093"/>
        </w:tabs>
        <w:spacing w:before="2" w:line="252" w:lineRule="exact"/>
        <w:ind w:hanging="229"/>
      </w:pPr>
      <w:r>
        <w:t>“LTTR” means a Physical or a Financial Long Term Transmission</w:t>
      </w:r>
      <w:r>
        <w:rPr>
          <w:spacing w:val="-12"/>
        </w:rPr>
        <w:t xml:space="preserve"> </w:t>
      </w:r>
      <w:r>
        <w:t>Rights;</w:t>
      </w:r>
    </w:p>
    <w:p w:rsidR="0087538C" w:rsidRDefault="00851036">
      <w:pPr>
        <w:pStyle w:val="Sarakstarindkopa"/>
        <w:numPr>
          <w:ilvl w:val="1"/>
          <w:numId w:val="8"/>
        </w:numPr>
        <w:tabs>
          <w:tab w:val="left" w:pos="1105"/>
        </w:tabs>
        <w:spacing w:line="252" w:lineRule="exact"/>
        <w:ind w:left="1104" w:hanging="241"/>
      </w:pPr>
      <w:r>
        <w:t>“HAR” means Harmonised Allocation</w:t>
      </w:r>
      <w:r>
        <w:rPr>
          <w:spacing w:val="-1"/>
        </w:rPr>
        <w:t xml:space="preserve"> </w:t>
      </w:r>
      <w:r>
        <w:t>Rules;</w:t>
      </w:r>
    </w:p>
    <w:p w:rsidR="0087538C" w:rsidRDefault="00851036">
      <w:pPr>
        <w:pStyle w:val="Sarakstarindkopa"/>
        <w:numPr>
          <w:ilvl w:val="1"/>
          <w:numId w:val="8"/>
        </w:numPr>
        <w:tabs>
          <w:tab w:val="left" w:pos="1093"/>
        </w:tabs>
        <w:spacing w:before="2" w:line="252" w:lineRule="exact"/>
        <w:ind w:hanging="229"/>
      </w:pPr>
      <w:r>
        <w:t>“SAP” means Single Allocation</w:t>
      </w:r>
      <w:r>
        <w:rPr>
          <w:spacing w:val="-1"/>
        </w:rPr>
        <w:t xml:space="preserve"> </w:t>
      </w:r>
      <w:r>
        <w:t>Platform;</w:t>
      </w:r>
    </w:p>
    <w:p w:rsidR="0087538C" w:rsidRDefault="00851036">
      <w:pPr>
        <w:pStyle w:val="Sarakstarindkopa"/>
        <w:numPr>
          <w:ilvl w:val="1"/>
          <w:numId w:val="8"/>
        </w:numPr>
        <w:tabs>
          <w:tab w:val="left" w:pos="1105"/>
        </w:tabs>
        <w:spacing w:line="252" w:lineRule="exact"/>
        <w:ind w:left="1104" w:hanging="241"/>
      </w:pPr>
      <w:r>
        <w:t>"FCA Regulation" means guideline on Forward Capacity</w:t>
      </w:r>
      <w:r>
        <w:rPr>
          <w:spacing w:val="-7"/>
        </w:rPr>
        <w:t xml:space="preserve"> </w:t>
      </w:r>
      <w:r>
        <w:t>Allocation;</w:t>
      </w:r>
    </w:p>
    <w:p w:rsidR="0087538C" w:rsidRDefault="00851036">
      <w:pPr>
        <w:pStyle w:val="Sarakstarindkopa"/>
        <w:numPr>
          <w:ilvl w:val="1"/>
          <w:numId w:val="8"/>
        </w:numPr>
        <w:tabs>
          <w:tab w:val="left" w:pos="1093"/>
        </w:tabs>
        <w:ind w:left="864" w:right="117" w:firstLine="0"/>
      </w:pPr>
      <w:r>
        <w:t>"FCA CCM" means the Capacity Calculation Methodology in accordance with Article 10 of the FCA</w:t>
      </w:r>
      <w:r>
        <w:rPr>
          <w:spacing w:val="-2"/>
        </w:rPr>
        <w:t xml:space="preserve"> </w:t>
      </w:r>
      <w:r>
        <w:t>Regulation.</w:t>
      </w:r>
    </w:p>
    <w:p w:rsidR="0087538C" w:rsidRDefault="0087538C">
      <w:pPr>
        <w:pStyle w:val="Pamatteksts"/>
        <w:spacing w:before="1"/>
      </w:pPr>
    </w:p>
    <w:p w:rsidR="0087538C" w:rsidRDefault="00851036">
      <w:pPr>
        <w:pStyle w:val="Sarakstarindkopa"/>
        <w:numPr>
          <w:ilvl w:val="0"/>
          <w:numId w:val="8"/>
        </w:numPr>
        <w:tabs>
          <w:tab w:val="left" w:pos="378"/>
        </w:tabs>
        <w:spacing w:line="252" w:lineRule="exact"/>
        <w:ind w:left="377" w:hanging="222"/>
      </w:pPr>
      <w:r>
        <w:t>In this LTCS, unless the context requires</w:t>
      </w:r>
      <w:r>
        <w:rPr>
          <w:spacing w:val="-5"/>
        </w:rPr>
        <w:t xml:space="preserve"> </w:t>
      </w:r>
      <w:r>
        <w:t>otherwise:</w:t>
      </w:r>
    </w:p>
    <w:p w:rsidR="0087538C" w:rsidRDefault="00851036">
      <w:pPr>
        <w:pStyle w:val="Sarakstarindkopa"/>
        <w:numPr>
          <w:ilvl w:val="1"/>
          <w:numId w:val="8"/>
        </w:numPr>
        <w:tabs>
          <w:tab w:val="left" w:pos="1093"/>
        </w:tabs>
        <w:spacing w:line="252" w:lineRule="exact"/>
        <w:ind w:hanging="229"/>
      </w:pPr>
      <w:r>
        <w:t>the singular indicates the plural and vice</w:t>
      </w:r>
      <w:r>
        <w:rPr>
          <w:spacing w:val="-4"/>
        </w:rPr>
        <w:t xml:space="preserve"> </w:t>
      </w:r>
      <w:r>
        <w:t>versa;</w:t>
      </w:r>
    </w:p>
    <w:p w:rsidR="0087538C" w:rsidRDefault="00851036">
      <w:pPr>
        <w:pStyle w:val="Sarakstarindkopa"/>
        <w:numPr>
          <w:ilvl w:val="1"/>
          <w:numId w:val="8"/>
        </w:numPr>
        <w:tabs>
          <w:tab w:val="left" w:pos="1105"/>
        </w:tabs>
        <w:ind w:left="864" w:right="756" w:firstLine="0"/>
      </w:pPr>
      <w:r>
        <w:t>headings are inserted for convenience only and do not affect the interpretation of this LTCS;</w:t>
      </w:r>
      <w:r>
        <w:rPr>
          <w:spacing w:val="-2"/>
        </w:rPr>
        <w:t xml:space="preserve"> </w:t>
      </w:r>
      <w:r>
        <w:t>and</w:t>
      </w:r>
    </w:p>
    <w:p w:rsidR="0087538C" w:rsidRDefault="00851036">
      <w:pPr>
        <w:pStyle w:val="Sarakstarindkopa"/>
        <w:numPr>
          <w:ilvl w:val="1"/>
          <w:numId w:val="8"/>
        </w:numPr>
        <w:tabs>
          <w:tab w:val="left" w:pos="1093"/>
        </w:tabs>
        <w:ind w:left="864" w:right="283" w:firstLine="0"/>
      </w:pPr>
      <w:r>
        <w:t>any reference to legislation, regulations, directives, orders, instruments, codes or any other enactment shall include any modification, extension or re-enactment of it when in</w:t>
      </w:r>
      <w:r>
        <w:rPr>
          <w:spacing w:val="-16"/>
        </w:rPr>
        <w:t xml:space="preserve"> </w:t>
      </w:r>
      <w:r>
        <w:t>force.</w:t>
      </w:r>
    </w:p>
    <w:p w:rsidR="0087538C" w:rsidRDefault="0087538C">
      <w:pPr>
        <w:sectPr w:rsidR="0087538C">
          <w:pgSz w:w="11910" w:h="16840"/>
          <w:pgMar w:top="1580" w:right="1300" w:bottom="1200" w:left="1260" w:header="0" w:footer="920" w:gutter="0"/>
          <w:cols w:space="720"/>
        </w:sectPr>
      </w:pPr>
    </w:p>
    <w:p w:rsidR="0087538C" w:rsidRDefault="00851036">
      <w:pPr>
        <w:pStyle w:val="Sarakstarindkopa"/>
        <w:numPr>
          <w:ilvl w:val="0"/>
          <w:numId w:val="8"/>
        </w:numPr>
        <w:tabs>
          <w:tab w:val="left" w:pos="392"/>
        </w:tabs>
        <w:spacing w:before="76"/>
        <w:ind w:right="111" w:firstLine="0"/>
        <w:jc w:val="both"/>
      </w:pPr>
      <w:r>
        <w:lastRenderedPageBreak/>
        <w:t>For the sake of clarity this LTCS does not affect TSOs' right to delegate all or part of their task in accordance with the Article 62 of the FCA Regulation. In this LTCS "TSO" shall refer to</w:t>
      </w:r>
      <w:r>
        <w:rPr>
          <w:spacing w:val="-38"/>
        </w:rPr>
        <w:t xml:space="preserve"> </w:t>
      </w:r>
      <w:r>
        <w:t>Transmission System</w:t>
      </w:r>
      <w:r>
        <w:rPr>
          <w:spacing w:val="-7"/>
        </w:rPr>
        <w:t xml:space="preserve"> </w:t>
      </w:r>
      <w:r>
        <w:t>Operator</w:t>
      </w:r>
      <w:r>
        <w:rPr>
          <w:spacing w:val="-4"/>
        </w:rPr>
        <w:t xml:space="preserve"> </w:t>
      </w:r>
      <w:r>
        <w:t>or</w:t>
      </w:r>
      <w:r>
        <w:rPr>
          <w:spacing w:val="-4"/>
        </w:rPr>
        <w:t xml:space="preserve"> </w:t>
      </w:r>
      <w:r>
        <w:t>to</w:t>
      </w:r>
      <w:r>
        <w:rPr>
          <w:spacing w:val="-4"/>
        </w:rPr>
        <w:t xml:space="preserve"> </w:t>
      </w:r>
      <w:r>
        <w:t>a</w:t>
      </w:r>
      <w:r>
        <w:rPr>
          <w:spacing w:val="-5"/>
        </w:rPr>
        <w:t xml:space="preserve"> </w:t>
      </w:r>
      <w:r>
        <w:t>third</w:t>
      </w:r>
      <w:r>
        <w:rPr>
          <w:spacing w:val="-3"/>
        </w:rPr>
        <w:t xml:space="preserve"> </w:t>
      </w:r>
      <w:r>
        <w:t>party</w:t>
      </w:r>
      <w:r>
        <w:rPr>
          <w:spacing w:val="-6"/>
        </w:rPr>
        <w:t xml:space="preserve"> </w:t>
      </w:r>
      <w:r>
        <w:t>whom</w:t>
      </w:r>
      <w:r>
        <w:rPr>
          <w:spacing w:val="-6"/>
        </w:rPr>
        <w:t xml:space="preserve"> </w:t>
      </w:r>
      <w:r>
        <w:t>the</w:t>
      </w:r>
      <w:r>
        <w:rPr>
          <w:spacing w:val="-2"/>
        </w:rPr>
        <w:t xml:space="preserve"> </w:t>
      </w:r>
      <w:r>
        <w:t>TSO</w:t>
      </w:r>
      <w:r>
        <w:rPr>
          <w:spacing w:val="-5"/>
        </w:rPr>
        <w:t xml:space="preserve"> </w:t>
      </w:r>
      <w:r>
        <w:t>has</w:t>
      </w:r>
      <w:r>
        <w:rPr>
          <w:spacing w:val="-4"/>
        </w:rPr>
        <w:t xml:space="preserve"> </w:t>
      </w:r>
      <w:r>
        <w:t>delegated</w:t>
      </w:r>
      <w:r>
        <w:rPr>
          <w:spacing w:val="-2"/>
        </w:rPr>
        <w:t xml:space="preserve"> </w:t>
      </w:r>
      <w:r>
        <w:t>task(s)</w:t>
      </w:r>
      <w:r>
        <w:rPr>
          <w:spacing w:val="-5"/>
        </w:rPr>
        <w:t xml:space="preserve"> </w:t>
      </w:r>
      <w:r>
        <w:t>to</w:t>
      </w:r>
      <w:r>
        <w:rPr>
          <w:spacing w:val="-5"/>
        </w:rPr>
        <w:t xml:space="preserve"> </w:t>
      </w:r>
      <w:r>
        <w:t>in</w:t>
      </w:r>
      <w:r>
        <w:rPr>
          <w:spacing w:val="-3"/>
        </w:rPr>
        <w:t xml:space="preserve"> </w:t>
      </w:r>
      <w:r>
        <w:t>accordance</w:t>
      </w:r>
      <w:r>
        <w:rPr>
          <w:spacing w:val="-2"/>
        </w:rPr>
        <w:t xml:space="preserve"> </w:t>
      </w:r>
      <w:r>
        <w:t>with</w:t>
      </w:r>
      <w:r>
        <w:rPr>
          <w:spacing w:val="-4"/>
        </w:rPr>
        <w:t xml:space="preserve"> </w:t>
      </w:r>
      <w:r>
        <w:t>the</w:t>
      </w:r>
      <w:r>
        <w:rPr>
          <w:spacing w:val="4"/>
        </w:rPr>
        <w:t xml:space="preserve"> </w:t>
      </w:r>
      <w:r>
        <w:t>FCA Regulation, where applicable. However, the delegating TSO shall remain responsible for ensuring compliance with the obligations under the FCA Regulation and under the</w:t>
      </w:r>
      <w:r>
        <w:rPr>
          <w:spacing w:val="-10"/>
        </w:rPr>
        <w:t xml:space="preserve"> </w:t>
      </w:r>
      <w:r>
        <w:t>HAR.</w:t>
      </w:r>
    </w:p>
    <w:p w:rsidR="0087538C" w:rsidRDefault="0087538C">
      <w:pPr>
        <w:pStyle w:val="Pamatteksts"/>
        <w:rPr>
          <w:sz w:val="24"/>
        </w:rPr>
      </w:pPr>
    </w:p>
    <w:p w:rsidR="0087538C" w:rsidRDefault="0087538C">
      <w:pPr>
        <w:pStyle w:val="Pamatteksts"/>
        <w:spacing w:before="3"/>
        <w:rPr>
          <w:sz w:val="33"/>
        </w:rPr>
      </w:pPr>
    </w:p>
    <w:p w:rsidR="0087538C" w:rsidRDefault="00851036">
      <w:pPr>
        <w:pStyle w:val="Virsraksts1"/>
        <w:ind w:left="405"/>
      </w:pPr>
      <w:r>
        <w:t>TITLE 2</w:t>
      </w:r>
    </w:p>
    <w:p w:rsidR="0087538C" w:rsidRDefault="00851036">
      <w:pPr>
        <w:spacing w:before="120"/>
        <w:ind w:left="403" w:right="367"/>
        <w:jc w:val="center"/>
        <w:rPr>
          <w:b/>
          <w:sz w:val="24"/>
        </w:rPr>
      </w:pPr>
      <w:r>
        <w:rPr>
          <w:b/>
          <w:sz w:val="24"/>
        </w:rPr>
        <w:t>Applying of capacity calculated for long-term time frame</w:t>
      </w:r>
    </w:p>
    <w:p w:rsidR="0087538C" w:rsidRDefault="0087538C">
      <w:pPr>
        <w:pStyle w:val="Pamatteksts"/>
        <w:rPr>
          <w:b/>
          <w:sz w:val="26"/>
        </w:rPr>
      </w:pPr>
    </w:p>
    <w:p w:rsidR="0087538C" w:rsidRDefault="00851036">
      <w:pPr>
        <w:spacing w:before="217"/>
        <w:ind w:left="402" w:right="367"/>
        <w:jc w:val="center"/>
        <w:rPr>
          <w:b/>
          <w:sz w:val="24"/>
        </w:rPr>
      </w:pPr>
      <w:r>
        <w:rPr>
          <w:b/>
          <w:sz w:val="24"/>
        </w:rPr>
        <w:t>Article 3</w:t>
      </w:r>
    </w:p>
    <w:p w:rsidR="0087538C" w:rsidRDefault="00851036">
      <w:pPr>
        <w:spacing w:before="121"/>
        <w:ind w:left="403" w:right="367"/>
        <w:jc w:val="center"/>
        <w:rPr>
          <w:b/>
          <w:sz w:val="24"/>
        </w:rPr>
      </w:pPr>
      <w:r>
        <w:rPr>
          <w:b/>
          <w:sz w:val="24"/>
        </w:rPr>
        <w:t>Applying of capacity calculated for long-term time frame</w:t>
      </w:r>
    </w:p>
    <w:p w:rsidR="0087538C" w:rsidRDefault="0087538C">
      <w:pPr>
        <w:pStyle w:val="Pamatteksts"/>
        <w:spacing w:before="10"/>
        <w:rPr>
          <w:b/>
          <w:sz w:val="23"/>
        </w:rPr>
      </w:pPr>
    </w:p>
    <w:p w:rsidR="0087538C" w:rsidRDefault="00851036">
      <w:pPr>
        <w:pStyle w:val="Sarakstarindkopa"/>
        <w:numPr>
          <w:ilvl w:val="0"/>
          <w:numId w:val="7"/>
        </w:numPr>
        <w:tabs>
          <w:tab w:val="left" w:pos="387"/>
        </w:tabs>
        <w:spacing w:before="1"/>
        <w:ind w:right="112" w:firstLine="0"/>
        <w:jc w:val="both"/>
      </w:pPr>
      <w:r>
        <w:t xml:space="preserve">The Baltic CCR TSOs shall apply the long term capacity calculated by the methodology set out </w:t>
      </w:r>
      <w:r>
        <w:rPr>
          <w:spacing w:val="4"/>
        </w:rPr>
        <w:t xml:space="preserve">by </w:t>
      </w:r>
      <w:r>
        <w:t>the</w:t>
      </w:r>
      <w:r>
        <w:rPr>
          <w:spacing w:val="-13"/>
        </w:rPr>
        <w:t xml:space="preserve"> </w:t>
      </w:r>
      <w:r>
        <w:t>FCA</w:t>
      </w:r>
      <w:r>
        <w:rPr>
          <w:spacing w:val="-14"/>
        </w:rPr>
        <w:t xml:space="preserve"> </w:t>
      </w:r>
      <w:r>
        <w:t>CCM</w:t>
      </w:r>
      <w:r>
        <w:rPr>
          <w:spacing w:val="-15"/>
        </w:rPr>
        <w:t xml:space="preserve"> </w:t>
      </w:r>
      <w:r>
        <w:t>for</w:t>
      </w:r>
      <w:r>
        <w:rPr>
          <w:spacing w:val="-13"/>
        </w:rPr>
        <w:t xml:space="preserve"> </w:t>
      </w:r>
      <w:r>
        <w:t>each</w:t>
      </w:r>
      <w:r>
        <w:rPr>
          <w:spacing w:val="-15"/>
        </w:rPr>
        <w:t xml:space="preserve"> </w:t>
      </w:r>
      <w:r>
        <w:t>long</w:t>
      </w:r>
      <w:r>
        <w:rPr>
          <w:spacing w:val="-16"/>
        </w:rPr>
        <w:t xml:space="preserve"> </w:t>
      </w:r>
      <w:r>
        <w:t>term</w:t>
      </w:r>
      <w:r>
        <w:rPr>
          <w:spacing w:val="-17"/>
        </w:rPr>
        <w:t xml:space="preserve"> </w:t>
      </w:r>
      <w:r>
        <w:t>time</w:t>
      </w:r>
      <w:r>
        <w:rPr>
          <w:spacing w:val="-13"/>
        </w:rPr>
        <w:t xml:space="preserve"> </w:t>
      </w:r>
      <w:r>
        <w:t>frame</w:t>
      </w:r>
      <w:r>
        <w:rPr>
          <w:spacing w:val="-13"/>
        </w:rPr>
        <w:t xml:space="preserve"> </w:t>
      </w:r>
      <w:r>
        <w:t>as</w:t>
      </w:r>
      <w:r>
        <w:rPr>
          <w:spacing w:val="-13"/>
        </w:rPr>
        <w:t xml:space="preserve"> </w:t>
      </w:r>
      <w:r>
        <w:t>a</w:t>
      </w:r>
      <w:r>
        <w:rPr>
          <w:spacing w:val="-15"/>
        </w:rPr>
        <w:t xml:space="preserve"> </w:t>
      </w:r>
      <w:r>
        <w:t>point</w:t>
      </w:r>
      <w:r>
        <w:rPr>
          <w:spacing w:val="-12"/>
        </w:rPr>
        <w:t xml:space="preserve"> </w:t>
      </w:r>
      <w:r>
        <w:t>of</w:t>
      </w:r>
      <w:r>
        <w:rPr>
          <w:spacing w:val="-13"/>
        </w:rPr>
        <w:t xml:space="preserve"> </w:t>
      </w:r>
      <w:r>
        <w:t>departure</w:t>
      </w:r>
      <w:r>
        <w:rPr>
          <w:spacing w:val="-13"/>
        </w:rPr>
        <w:t xml:space="preserve"> </w:t>
      </w:r>
      <w:r>
        <w:t>for</w:t>
      </w:r>
      <w:r>
        <w:rPr>
          <w:spacing w:val="-13"/>
        </w:rPr>
        <w:t xml:space="preserve"> </w:t>
      </w:r>
      <w:r>
        <w:t>calculating</w:t>
      </w:r>
      <w:r>
        <w:rPr>
          <w:spacing w:val="-16"/>
        </w:rPr>
        <w:t xml:space="preserve"> </w:t>
      </w:r>
      <w:r>
        <w:t>the</w:t>
      </w:r>
      <w:r>
        <w:rPr>
          <w:spacing w:val="-13"/>
        </w:rPr>
        <w:t xml:space="preserve"> </w:t>
      </w:r>
      <w:r>
        <w:t>amount</w:t>
      </w:r>
      <w:r>
        <w:rPr>
          <w:spacing w:val="-12"/>
        </w:rPr>
        <w:t xml:space="preserve"> </w:t>
      </w:r>
      <w:r>
        <w:t>of</w:t>
      </w:r>
      <w:r>
        <w:rPr>
          <w:spacing w:val="-15"/>
        </w:rPr>
        <w:t xml:space="preserve"> </w:t>
      </w:r>
      <w:r>
        <w:t>LTTR for</w:t>
      </w:r>
      <w:r>
        <w:rPr>
          <w:spacing w:val="-13"/>
        </w:rPr>
        <w:t xml:space="preserve"> </w:t>
      </w:r>
      <w:r>
        <w:t>the</w:t>
      </w:r>
      <w:r>
        <w:rPr>
          <w:spacing w:val="-12"/>
        </w:rPr>
        <w:t xml:space="preserve"> </w:t>
      </w:r>
      <w:r>
        <w:t>different</w:t>
      </w:r>
      <w:r>
        <w:rPr>
          <w:spacing w:val="-13"/>
        </w:rPr>
        <w:t xml:space="preserve"> </w:t>
      </w:r>
      <w:r>
        <w:t>time</w:t>
      </w:r>
      <w:r>
        <w:rPr>
          <w:spacing w:val="-12"/>
        </w:rPr>
        <w:t xml:space="preserve"> </w:t>
      </w:r>
      <w:r>
        <w:t>frames.</w:t>
      </w:r>
      <w:r>
        <w:rPr>
          <w:spacing w:val="-13"/>
        </w:rPr>
        <w:t xml:space="preserve"> </w:t>
      </w:r>
      <w:r>
        <w:t>This</w:t>
      </w:r>
      <w:r>
        <w:rPr>
          <w:spacing w:val="-11"/>
        </w:rPr>
        <w:t xml:space="preserve"> </w:t>
      </w:r>
      <w:r>
        <w:t>methodology</w:t>
      </w:r>
      <w:r>
        <w:rPr>
          <w:spacing w:val="-14"/>
        </w:rPr>
        <w:t xml:space="preserve"> </w:t>
      </w:r>
      <w:r>
        <w:t>applies</w:t>
      </w:r>
      <w:r>
        <w:rPr>
          <w:spacing w:val="-15"/>
        </w:rPr>
        <w:t xml:space="preserve"> </w:t>
      </w:r>
      <w:r>
        <w:t>to</w:t>
      </w:r>
      <w:r>
        <w:rPr>
          <w:spacing w:val="-14"/>
        </w:rPr>
        <w:t xml:space="preserve"> </w:t>
      </w:r>
      <w:r>
        <w:t>all</w:t>
      </w:r>
      <w:r>
        <w:rPr>
          <w:spacing w:val="-13"/>
        </w:rPr>
        <w:t xml:space="preserve"> </w:t>
      </w:r>
      <w:r>
        <w:t>time</w:t>
      </w:r>
      <w:r>
        <w:rPr>
          <w:spacing w:val="-12"/>
        </w:rPr>
        <w:t xml:space="preserve"> </w:t>
      </w:r>
      <w:r>
        <w:t>frames</w:t>
      </w:r>
      <w:r>
        <w:rPr>
          <w:spacing w:val="-9"/>
        </w:rPr>
        <w:t xml:space="preserve"> </w:t>
      </w:r>
      <w:r>
        <w:t>foreseen</w:t>
      </w:r>
      <w:r>
        <w:rPr>
          <w:spacing w:val="-14"/>
        </w:rPr>
        <w:t xml:space="preserve"> </w:t>
      </w:r>
      <w:r>
        <w:t>in</w:t>
      </w:r>
      <w:r>
        <w:rPr>
          <w:spacing w:val="-12"/>
        </w:rPr>
        <w:t xml:space="preserve"> </w:t>
      </w:r>
      <w:r>
        <w:t>the</w:t>
      </w:r>
      <w:r>
        <w:rPr>
          <w:spacing w:val="-14"/>
        </w:rPr>
        <w:t xml:space="preserve"> </w:t>
      </w:r>
      <w:r>
        <w:t>regional</w:t>
      </w:r>
      <w:r>
        <w:rPr>
          <w:spacing w:val="-13"/>
        </w:rPr>
        <w:t xml:space="preserve"> </w:t>
      </w:r>
      <w:r>
        <w:t>design of long-term transmission rights in accordance with Article 31(2) of the FCA</w:t>
      </w:r>
      <w:r>
        <w:rPr>
          <w:spacing w:val="-15"/>
        </w:rPr>
        <w:t xml:space="preserve"> </w:t>
      </w:r>
      <w:r>
        <w:t>Regulation.</w:t>
      </w:r>
    </w:p>
    <w:p w:rsidR="0087538C" w:rsidRDefault="0087538C">
      <w:pPr>
        <w:pStyle w:val="Pamatteksts"/>
        <w:spacing w:before="11"/>
        <w:rPr>
          <w:sz w:val="21"/>
        </w:rPr>
      </w:pPr>
    </w:p>
    <w:p w:rsidR="0087538C" w:rsidRDefault="00851036">
      <w:pPr>
        <w:pStyle w:val="Sarakstarindkopa"/>
        <w:numPr>
          <w:ilvl w:val="0"/>
          <w:numId w:val="7"/>
        </w:numPr>
        <w:tabs>
          <w:tab w:val="left" w:pos="373"/>
        </w:tabs>
        <w:ind w:right="112" w:firstLine="0"/>
        <w:jc w:val="both"/>
      </w:pPr>
      <w:r>
        <w:t>The</w:t>
      </w:r>
      <w:r>
        <w:rPr>
          <w:spacing w:val="-6"/>
        </w:rPr>
        <w:t xml:space="preserve"> </w:t>
      </w:r>
      <w:r>
        <w:t>Baltic</w:t>
      </w:r>
      <w:r>
        <w:rPr>
          <w:spacing w:val="-5"/>
        </w:rPr>
        <w:t xml:space="preserve"> </w:t>
      </w:r>
      <w:r>
        <w:t>CCR</w:t>
      </w:r>
      <w:r>
        <w:rPr>
          <w:spacing w:val="-8"/>
        </w:rPr>
        <w:t xml:space="preserve"> </w:t>
      </w:r>
      <w:r>
        <w:t>TSOs</w:t>
      </w:r>
      <w:r>
        <w:rPr>
          <w:spacing w:val="-4"/>
        </w:rPr>
        <w:t xml:space="preserve"> </w:t>
      </w:r>
      <w:r>
        <w:t>shall</w:t>
      </w:r>
      <w:r>
        <w:rPr>
          <w:spacing w:val="-7"/>
        </w:rPr>
        <w:t xml:space="preserve"> </w:t>
      </w:r>
      <w:r>
        <w:t>apply</w:t>
      </w:r>
      <w:r>
        <w:rPr>
          <w:spacing w:val="-8"/>
        </w:rPr>
        <w:t xml:space="preserve"> </w:t>
      </w:r>
      <w:r>
        <w:t>the</w:t>
      </w:r>
      <w:r>
        <w:rPr>
          <w:spacing w:val="-7"/>
        </w:rPr>
        <w:t xml:space="preserve"> </w:t>
      </w:r>
      <w:r>
        <w:t>following</w:t>
      </w:r>
      <w:r>
        <w:rPr>
          <w:spacing w:val="-8"/>
        </w:rPr>
        <w:t xml:space="preserve"> </w:t>
      </w:r>
      <w:r>
        <w:t>procedure</w:t>
      </w:r>
      <w:r>
        <w:rPr>
          <w:spacing w:val="-6"/>
        </w:rPr>
        <w:t xml:space="preserve"> </w:t>
      </w:r>
      <w:r>
        <w:t>when</w:t>
      </w:r>
      <w:r>
        <w:rPr>
          <w:spacing w:val="-5"/>
        </w:rPr>
        <w:t xml:space="preserve"> </w:t>
      </w:r>
      <w:r>
        <w:t>calculating,</w:t>
      </w:r>
      <w:r>
        <w:rPr>
          <w:spacing w:val="-5"/>
        </w:rPr>
        <w:t xml:space="preserve"> </w:t>
      </w:r>
      <w:r>
        <w:t>splitting</w:t>
      </w:r>
      <w:r>
        <w:rPr>
          <w:spacing w:val="-7"/>
        </w:rPr>
        <w:t xml:space="preserve"> </w:t>
      </w:r>
      <w:r>
        <w:t>and</w:t>
      </w:r>
      <w:r>
        <w:rPr>
          <w:spacing w:val="-6"/>
        </w:rPr>
        <w:t xml:space="preserve"> </w:t>
      </w:r>
      <w:r>
        <w:t>issuing</w:t>
      </w:r>
      <w:r>
        <w:rPr>
          <w:spacing w:val="-8"/>
        </w:rPr>
        <w:t xml:space="preserve"> </w:t>
      </w:r>
      <w:r>
        <w:t>the amount of LTTR for each different time</w:t>
      </w:r>
      <w:r>
        <w:rPr>
          <w:spacing w:val="-5"/>
        </w:rPr>
        <w:t xml:space="preserve"> </w:t>
      </w:r>
      <w:r>
        <w:t>frames:</w:t>
      </w:r>
    </w:p>
    <w:p w:rsidR="0087538C" w:rsidRDefault="00851036">
      <w:pPr>
        <w:pStyle w:val="Sarakstarindkopa"/>
        <w:numPr>
          <w:ilvl w:val="1"/>
          <w:numId w:val="7"/>
        </w:numPr>
        <w:tabs>
          <w:tab w:val="left" w:pos="1073"/>
        </w:tabs>
        <w:ind w:right="110" w:firstLine="0"/>
        <w:jc w:val="both"/>
      </w:pPr>
      <w:r>
        <w:t>Once</w:t>
      </w:r>
      <w:r>
        <w:rPr>
          <w:spacing w:val="-5"/>
        </w:rPr>
        <w:t xml:space="preserve"> </w:t>
      </w:r>
      <w:r>
        <w:t>a</w:t>
      </w:r>
      <w:r>
        <w:rPr>
          <w:spacing w:val="-3"/>
        </w:rPr>
        <w:t xml:space="preserve"> </w:t>
      </w:r>
      <w:r>
        <w:t>year</w:t>
      </w:r>
      <w:r>
        <w:rPr>
          <w:spacing w:val="-2"/>
        </w:rPr>
        <w:t xml:space="preserve"> </w:t>
      </w:r>
      <w:r>
        <w:t>one</w:t>
      </w:r>
      <w:r>
        <w:rPr>
          <w:spacing w:val="-3"/>
        </w:rPr>
        <w:t xml:space="preserve"> </w:t>
      </w:r>
      <w:r>
        <w:t>(1)</w:t>
      </w:r>
      <w:r>
        <w:rPr>
          <w:spacing w:val="-1"/>
        </w:rPr>
        <w:t xml:space="preserve"> </w:t>
      </w:r>
      <w:r>
        <w:t>week</w:t>
      </w:r>
      <w:r>
        <w:rPr>
          <w:spacing w:val="-3"/>
        </w:rPr>
        <w:t xml:space="preserve"> </w:t>
      </w:r>
      <w:r>
        <w:t>prior</w:t>
      </w:r>
      <w:r>
        <w:rPr>
          <w:spacing w:val="-4"/>
        </w:rPr>
        <w:t xml:space="preserve"> </w:t>
      </w:r>
      <w:r>
        <w:t>to</w:t>
      </w:r>
      <w:r>
        <w:rPr>
          <w:spacing w:val="-4"/>
        </w:rPr>
        <w:t xml:space="preserve"> </w:t>
      </w:r>
      <w:r>
        <w:t>the yearly</w:t>
      </w:r>
      <w:r>
        <w:rPr>
          <w:spacing w:val="-3"/>
        </w:rPr>
        <w:t xml:space="preserve"> </w:t>
      </w:r>
      <w:r>
        <w:t>allocation,</w:t>
      </w:r>
      <w:r>
        <w:rPr>
          <w:spacing w:val="-1"/>
        </w:rPr>
        <w:t xml:space="preserve"> </w:t>
      </w:r>
      <w:r>
        <w:t>the</w:t>
      </w:r>
      <w:r>
        <w:rPr>
          <w:spacing w:val="-4"/>
        </w:rPr>
        <w:t xml:space="preserve"> </w:t>
      </w:r>
      <w:r>
        <w:t>amount of</w:t>
      </w:r>
      <w:r>
        <w:rPr>
          <w:spacing w:val="-2"/>
        </w:rPr>
        <w:t xml:space="preserve"> </w:t>
      </w:r>
      <w:r>
        <w:t>yearly</w:t>
      </w:r>
      <w:r>
        <w:rPr>
          <w:spacing w:val="-3"/>
        </w:rPr>
        <w:t xml:space="preserve"> </w:t>
      </w:r>
      <w:r>
        <w:t>LTTR</w:t>
      </w:r>
      <w:r>
        <w:rPr>
          <w:spacing w:val="-3"/>
        </w:rPr>
        <w:t xml:space="preserve"> </w:t>
      </w:r>
      <w:r>
        <w:t>shall</w:t>
      </w:r>
      <w:r>
        <w:rPr>
          <w:spacing w:val="-1"/>
        </w:rPr>
        <w:t xml:space="preserve"> </w:t>
      </w:r>
      <w:r>
        <w:t>be calculated and published to the</w:t>
      </w:r>
      <w:r>
        <w:rPr>
          <w:spacing w:val="-4"/>
        </w:rPr>
        <w:t xml:space="preserve"> </w:t>
      </w:r>
      <w:r>
        <w:t>market.</w:t>
      </w:r>
    </w:p>
    <w:p w:rsidR="0087538C" w:rsidRDefault="00851036">
      <w:pPr>
        <w:pStyle w:val="Sarakstarindkopa"/>
        <w:numPr>
          <w:ilvl w:val="1"/>
          <w:numId w:val="7"/>
        </w:numPr>
        <w:tabs>
          <w:tab w:val="left" w:pos="1086"/>
        </w:tabs>
        <w:spacing w:before="1"/>
        <w:ind w:right="115" w:firstLine="0"/>
        <w:jc w:val="both"/>
      </w:pPr>
      <w:r>
        <w:t>Once</w:t>
      </w:r>
      <w:r>
        <w:rPr>
          <w:spacing w:val="-3"/>
        </w:rPr>
        <w:t xml:space="preserve"> </w:t>
      </w:r>
      <w:r>
        <w:t>a</w:t>
      </w:r>
      <w:r>
        <w:rPr>
          <w:spacing w:val="-3"/>
        </w:rPr>
        <w:t xml:space="preserve"> </w:t>
      </w:r>
      <w:r>
        <w:t>quarter</w:t>
      </w:r>
      <w:r>
        <w:rPr>
          <w:spacing w:val="-3"/>
        </w:rPr>
        <w:t xml:space="preserve"> </w:t>
      </w:r>
      <w:r>
        <w:t>and</w:t>
      </w:r>
      <w:r>
        <w:rPr>
          <w:spacing w:val="-3"/>
        </w:rPr>
        <w:t xml:space="preserve"> </w:t>
      </w:r>
      <w:r>
        <w:t>no</w:t>
      </w:r>
      <w:r>
        <w:rPr>
          <w:spacing w:val="-4"/>
        </w:rPr>
        <w:t xml:space="preserve"> </w:t>
      </w:r>
      <w:r>
        <w:t>later</w:t>
      </w:r>
      <w:r>
        <w:rPr>
          <w:spacing w:val="-3"/>
        </w:rPr>
        <w:t xml:space="preserve"> </w:t>
      </w:r>
      <w:r>
        <w:t>than</w:t>
      </w:r>
      <w:r>
        <w:rPr>
          <w:spacing w:val="-2"/>
        </w:rPr>
        <w:t xml:space="preserve"> </w:t>
      </w:r>
      <w:r>
        <w:t>one</w:t>
      </w:r>
      <w:r>
        <w:rPr>
          <w:spacing w:val="-3"/>
        </w:rPr>
        <w:t xml:space="preserve"> </w:t>
      </w:r>
      <w:r>
        <w:t>(1)</w:t>
      </w:r>
      <w:r>
        <w:rPr>
          <w:spacing w:val="-4"/>
        </w:rPr>
        <w:t xml:space="preserve"> </w:t>
      </w:r>
      <w:r>
        <w:t>week</w:t>
      </w:r>
      <w:r>
        <w:rPr>
          <w:spacing w:val="-3"/>
        </w:rPr>
        <w:t xml:space="preserve"> </w:t>
      </w:r>
      <w:r>
        <w:t>prior</w:t>
      </w:r>
      <w:r>
        <w:rPr>
          <w:spacing w:val="-3"/>
        </w:rPr>
        <w:t xml:space="preserve"> </w:t>
      </w:r>
      <w:r>
        <w:t>to</w:t>
      </w:r>
      <w:r>
        <w:rPr>
          <w:spacing w:val="-1"/>
        </w:rPr>
        <w:t xml:space="preserve"> </w:t>
      </w:r>
      <w:r>
        <w:t>the</w:t>
      </w:r>
      <w:r>
        <w:rPr>
          <w:spacing w:val="-1"/>
        </w:rPr>
        <w:t xml:space="preserve"> </w:t>
      </w:r>
      <w:r>
        <w:t>quarterly</w:t>
      </w:r>
      <w:r>
        <w:rPr>
          <w:spacing w:val="-4"/>
        </w:rPr>
        <w:t xml:space="preserve"> </w:t>
      </w:r>
      <w:r>
        <w:t>allocation,</w:t>
      </w:r>
      <w:r>
        <w:rPr>
          <w:spacing w:val="-4"/>
        </w:rPr>
        <w:t xml:space="preserve"> </w:t>
      </w:r>
      <w:r>
        <w:t>the</w:t>
      </w:r>
      <w:r>
        <w:rPr>
          <w:spacing w:val="-1"/>
        </w:rPr>
        <w:t xml:space="preserve"> </w:t>
      </w:r>
      <w:r>
        <w:t>amount</w:t>
      </w:r>
      <w:r>
        <w:rPr>
          <w:spacing w:val="-3"/>
        </w:rPr>
        <w:t xml:space="preserve"> </w:t>
      </w:r>
      <w:r>
        <w:t>of quarterly LTTR shall be calculated and publish to the</w:t>
      </w:r>
      <w:r>
        <w:rPr>
          <w:spacing w:val="-11"/>
        </w:rPr>
        <w:t xml:space="preserve"> </w:t>
      </w:r>
      <w:r>
        <w:t>market.</w:t>
      </w:r>
    </w:p>
    <w:p w:rsidR="0087538C" w:rsidRDefault="00851036">
      <w:pPr>
        <w:pStyle w:val="Sarakstarindkopa"/>
        <w:numPr>
          <w:ilvl w:val="1"/>
          <w:numId w:val="7"/>
        </w:numPr>
        <w:tabs>
          <w:tab w:val="left" w:pos="1088"/>
        </w:tabs>
        <w:spacing w:before="1"/>
        <w:ind w:right="116" w:firstLine="0"/>
        <w:jc w:val="both"/>
      </w:pPr>
      <w:r>
        <w:t>Once a month and no later than two (2) Working Days prior to the monthly allocation, the amount of LTTR with a monthly time frame shall be calculated and issued to the</w:t>
      </w:r>
      <w:r>
        <w:rPr>
          <w:spacing w:val="-19"/>
        </w:rPr>
        <w:t xml:space="preserve"> </w:t>
      </w:r>
      <w:r>
        <w:t>market.</w:t>
      </w:r>
    </w:p>
    <w:p w:rsidR="0087538C" w:rsidRDefault="00851036">
      <w:pPr>
        <w:pStyle w:val="Sarakstarindkopa"/>
        <w:numPr>
          <w:ilvl w:val="1"/>
          <w:numId w:val="7"/>
        </w:numPr>
        <w:tabs>
          <w:tab w:val="left" w:pos="1086"/>
        </w:tabs>
        <w:ind w:right="114" w:firstLine="0"/>
        <w:jc w:val="both"/>
      </w:pPr>
      <w:r>
        <w:t>In case other time frames than year, quarter and month are introduced, the amount of</w:t>
      </w:r>
      <w:r>
        <w:rPr>
          <w:spacing w:val="-36"/>
        </w:rPr>
        <w:t xml:space="preserve"> </w:t>
      </w:r>
      <w:r>
        <w:t>LTTR within that time frame shall be calculated and issued to the market no later than two working days prior to the allocation in the month before the time frame of where the LTTR</w:t>
      </w:r>
      <w:r>
        <w:rPr>
          <w:spacing w:val="-17"/>
        </w:rPr>
        <w:t xml:space="preserve"> </w:t>
      </w:r>
      <w:r>
        <w:t>apply.</w:t>
      </w:r>
    </w:p>
    <w:p w:rsidR="0087538C" w:rsidRDefault="0087538C">
      <w:pPr>
        <w:pStyle w:val="Pamatteksts"/>
        <w:rPr>
          <w:sz w:val="24"/>
        </w:rPr>
      </w:pPr>
    </w:p>
    <w:p w:rsidR="0087538C" w:rsidRDefault="0087538C">
      <w:pPr>
        <w:pStyle w:val="Pamatteksts"/>
        <w:spacing w:before="5"/>
        <w:rPr>
          <w:sz w:val="30"/>
        </w:rPr>
      </w:pPr>
    </w:p>
    <w:p w:rsidR="0087538C" w:rsidRDefault="00851036">
      <w:pPr>
        <w:pStyle w:val="Virsraksts1"/>
        <w:spacing w:before="1"/>
      </w:pPr>
      <w:r>
        <w:t>Article 4</w:t>
      </w:r>
    </w:p>
    <w:p w:rsidR="0087538C" w:rsidRDefault="00851036">
      <w:pPr>
        <w:spacing w:before="120"/>
        <w:ind w:left="403" w:right="367"/>
        <w:jc w:val="center"/>
        <w:rPr>
          <w:b/>
          <w:sz w:val="24"/>
        </w:rPr>
      </w:pPr>
      <w:r>
        <w:rPr>
          <w:b/>
          <w:sz w:val="24"/>
        </w:rPr>
        <w:t>Methodology for splitting long-term cross-zonal capacity</w:t>
      </w:r>
    </w:p>
    <w:p w:rsidR="0087538C" w:rsidRDefault="0087538C">
      <w:pPr>
        <w:pStyle w:val="Pamatteksts"/>
        <w:spacing w:before="10"/>
        <w:rPr>
          <w:b/>
          <w:sz w:val="23"/>
        </w:rPr>
      </w:pPr>
    </w:p>
    <w:p w:rsidR="0087538C" w:rsidRDefault="00851036">
      <w:pPr>
        <w:pStyle w:val="Sarakstarindkopa"/>
        <w:numPr>
          <w:ilvl w:val="0"/>
          <w:numId w:val="6"/>
        </w:numPr>
        <w:tabs>
          <w:tab w:val="left" w:pos="380"/>
        </w:tabs>
        <w:spacing w:before="1"/>
        <w:ind w:right="112" w:firstLine="0"/>
        <w:jc w:val="both"/>
      </w:pPr>
      <w:r>
        <w:t>The total amount of LTTR for all timeframes to be allocated, cf. Article 4(2) shall be split between the different timeframes in accordance to hedging needs of market participants and in accordance with article 16 of FCA</w:t>
      </w:r>
      <w:r>
        <w:rPr>
          <w:spacing w:val="-3"/>
        </w:rPr>
        <w:t xml:space="preserve"> </w:t>
      </w:r>
      <w:r>
        <w:t>Regulation.</w:t>
      </w:r>
    </w:p>
    <w:p w:rsidR="0087538C" w:rsidRDefault="0087538C">
      <w:pPr>
        <w:pStyle w:val="Pamatteksts"/>
        <w:spacing w:before="10"/>
        <w:rPr>
          <w:sz w:val="21"/>
        </w:rPr>
      </w:pPr>
    </w:p>
    <w:p w:rsidR="0087538C" w:rsidRDefault="00851036">
      <w:pPr>
        <w:pStyle w:val="Sarakstarindkopa"/>
        <w:numPr>
          <w:ilvl w:val="0"/>
          <w:numId w:val="6"/>
        </w:numPr>
        <w:tabs>
          <w:tab w:val="left" w:pos="378"/>
        </w:tabs>
        <w:ind w:right="113" w:firstLine="0"/>
        <w:jc w:val="both"/>
      </w:pPr>
      <w:r>
        <w:t>The coordinated capacity calculator shall split the calculated long-term cross-zonal capacity for each forward capacity allocation by applying the methodology for splitting cross-zonal capacity pursuant to point 4 in this Article</w:t>
      </w:r>
      <w:r>
        <w:rPr>
          <w:spacing w:val="2"/>
        </w:rPr>
        <w:t xml:space="preserve"> </w:t>
      </w:r>
      <w:r>
        <w:t>4.</w:t>
      </w:r>
    </w:p>
    <w:p w:rsidR="0087538C" w:rsidRDefault="0087538C">
      <w:pPr>
        <w:pStyle w:val="Pamatteksts"/>
        <w:spacing w:before="1"/>
      </w:pPr>
    </w:p>
    <w:p w:rsidR="0087538C" w:rsidRDefault="00851036">
      <w:pPr>
        <w:pStyle w:val="Sarakstarindkopa"/>
        <w:numPr>
          <w:ilvl w:val="0"/>
          <w:numId w:val="6"/>
        </w:numPr>
        <w:tabs>
          <w:tab w:val="left" w:pos="371"/>
        </w:tabs>
        <w:ind w:right="113" w:firstLine="0"/>
        <w:jc w:val="both"/>
      </w:pPr>
      <w:r>
        <w:t>TSOs</w:t>
      </w:r>
      <w:r>
        <w:rPr>
          <w:spacing w:val="-8"/>
        </w:rPr>
        <w:t xml:space="preserve"> </w:t>
      </w:r>
      <w:r>
        <w:t>shall</w:t>
      </w:r>
      <w:r>
        <w:rPr>
          <w:spacing w:val="-8"/>
        </w:rPr>
        <w:t xml:space="preserve"> </w:t>
      </w:r>
      <w:r>
        <w:t>evaluate</w:t>
      </w:r>
      <w:r>
        <w:rPr>
          <w:spacing w:val="-8"/>
        </w:rPr>
        <w:t xml:space="preserve"> </w:t>
      </w:r>
      <w:r>
        <w:t>the</w:t>
      </w:r>
      <w:r>
        <w:rPr>
          <w:spacing w:val="-8"/>
        </w:rPr>
        <w:t xml:space="preserve"> </w:t>
      </w:r>
      <w:r>
        <w:t>effectivness</w:t>
      </w:r>
      <w:r>
        <w:rPr>
          <w:spacing w:val="-6"/>
        </w:rPr>
        <w:t xml:space="preserve"> </w:t>
      </w:r>
      <w:r>
        <w:t>of</w:t>
      </w:r>
      <w:r>
        <w:rPr>
          <w:spacing w:val="-7"/>
        </w:rPr>
        <w:t xml:space="preserve"> </w:t>
      </w:r>
      <w:r>
        <w:t>long-term</w:t>
      </w:r>
      <w:r>
        <w:rPr>
          <w:spacing w:val="-12"/>
        </w:rPr>
        <w:t xml:space="preserve"> </w:t>
      </w:r>
      <w:r>
        <w:t>capacity</w:t>
      </w:r>
      <w:r>
        <w:rPr>
          <w:spacing w:val="-11"/>
        </w:rPr>
        <w:t xml:space="preserve"> </w:t>
      </w:r>
      <w:r>
        <w:t>splitting</w:t>
      </w:r>
      <w:r>
        <w:rPr>
          <w:spacing w:val="-9"/>
        </w:rPr>
        <w:t xml:space="preserve"> </w:t>
      </w:r>
      <w:r>
        <w:t>fuction</w:t>
      </w:r>
      <w:r>
        <w:rPr>
          <w:spacing w:val="-8"/>
        </w:rPr>
        <w:t xml:space="preserve"> </w:t>
      </w:r>
      <w:r>
        <w:t>performed</w:t>
      </w:r>
      <w:r>
        <w:rPr>
          <w:spacing w:val="-8"/>
        </w:rPr>
        <w:t xml:space="preserve"> </w:t>
      </w:r>
      <w:r>
        <w:t>by</w:t>
      </w:r>
      <w:r>
        <w:rPr>
          <w:spacing w:val="-11"/>
        </w:rPr>
        <w:t xml:space="preserve"> </w:t>
      </w:r>
      <w:r>
        <w:t>coordinated capacity calculator according to article 62(1) of FCA Regulation. In order to avoid uneffectivness in calculation and coordination process, TSOs may proceed fulfilling the long-term capacity splitting function under TSO-TSO</w:t>
      </w:r>
      <w:r>
        <w:rPr>
          <w:spacing w:val="-6"/>
        </w:rPr>
        <w:t xml:space="preserve"> </w:t>
      </w:r>
      <w:r>
        <w:t>coordination.</w:t>
      </w:r>
    </w:p>
    <w:p w:rsidR="0087538C" w:rsidRDefault="0087538C">
      <w:pPr>
        <w:pStyle w:val="Pamatteksts"/>
        <w:spacing w:before="3"/>
        <w:rPr>
          <w:sz w:val="23"/>
        </w:rPr>
      </w:pPr>
    </w:p>
    <w:p w:rsidR="0087538C" w:rsidRDefault="00851036">
      <w:pPr>
        <w:pStyle w:val="Sarakstarindkopa"/>
        <w:numPr>
          <w:ilvl w:val="0"/>
          <w:numId w:val="6"/>
        </w:numPr>
        <w:tabs>
          <w:tab w:val="left" w:pos="378"/>
        </w:tabs>
        <w:ind w:left="377" w:hanging="222"/>
        <w:jc w:val="both"/>
      </w:pPr>
      <w:r>
        <w:t>The calculation of amount of LTTR for each timeframe shall be done in the following</w:t>
      </w:r>
      <w:r>
        <w:rPr>
          <w:spacing w:val="-23"/>
        </w:rPr>
        <w:t xml:space="preserve"> </w:t>
      </w:r>
      <w:r>
        <w:t>way:</w:t>
      </w:r>
    </w:p>
    <w:p w:rsidR="0087538C" w:rsidRDefault="0087538C">
      <w:pPr>
        <w:pStyle w:val="Pamatteksts"/>
        <w:spacing w:before="1"/>
      </w:pPr>
    </w:p>
    <w:p w:rsidR="0087538C" w:rsidRDefault="00851036">
      <w:pPr>
        <w:pStyle w:val="Sarakstarindkopa"/>
        <w:numPr>
          <w:ilvl w:val="1"/>
          <w:numId w:val="6"/>
        </w:numPr>
        <w:tabs>
          <w:tab w:val="left" w:pos="1086"/>
        </w:tabs>
        <w:ind w:right="117" w:firstLine="0"/>
        <w:jc w:val="both"/>
      </w:pPr>
      <w:r>
        <w:t>The long-term cross-zonal capacity for respective timeframe and respective border shall be calculated according the FCA CCM of Baltic CCR, as stated in FCA Regulation Article</w:t>
      </w:r>
      <w:r>
        <w:rPr>
          <w:spacing w:val="-18"/>
        </w:rPr>
        <w:t xml:space="preserve"> </w:t>
      </w:r>
      <w:r>
        <w:t>10.</w:t>
      </w:r>
    </w:p>
    <w:p w:rsidR="0087538C" w:rsidRDefault="0087538C">
      <w:pPr>
        <w:jc w:val="both"/>
        <w:sectPr w:rsidR="0087538C">
          <w:pgSz w:w="11910" w:h="16840"/>
          <w:pgMar w:top="1320" w:right="1300" w:bottom="1200" w:left="1260" w:header="0" w:footer="920" w:gutter="0"/>
          <w:cols w:space="720"/>
        </w:sectPr>
      </w:pPr>
    </w:p>
    <w:p w:rsidR="0087538C" w:rsidRDefault="00851036">
      <w:pPr>
        <w:pStyle w:val="Sarakstarindkopa"/>
        <w:numPr>
          <w:ilvl w:val="1"/>
          <w:numId w:val="6"/>
        </w:numPr>
        <w:tabs>
          <w:tab w:val="left" w:pos="1129"/>
        </w:tabs>
        <w:spacing w:before="71"/>
        <w:ind w:right="112" w:firstLine="0"/>
      </w:pPr>
      <w:r>
        <w:lastRenderedPageBreak/>
        <w:t>The following splitting shares of long-term cross-zonal capacity shall be applied when calculating yearly, quarterly and montly shares of LTTR capacity (in</w:t>
      </w:r>
      <w:r>
        <w:rPr>
          <w:spacing w:val="-17"/>
        </w:rPr>
        <w:t xml:space="preserve"> </w:t>
      </w:r>
      <w:r>
        <w:t>MW</w:t>
      </w:r>
      <w:r w:rsidR="00CD4931">
        <w:t>)</w:t>
      </w:r>
      <w:r>
        <w:t>:</w:t>
      </w:r>
    </w:p>
    <w:p w:rsidR="0087538C" w:rsidRDefault="0087538C">
      <w:pPr>
        <w:pStyle w:val="Pamatteksts"/>
        <w:spacing w:before="10"/>
        <w:rPr>
          <w:sz w:val="21"/>
        </w:rPr>
      </w:pPr>
    </w:p>
    <w:p w:rsidR="0087538C" w:rsidRDefault="00851036">
      <w:pPr>
        <w:ind w:left="864"/>
        <w:jc w:val="both"/>
      </w:pPr>
      <w:r>
        <w:rPr>
          <w:position w:val="2"/>
        </w:rPr>
        <w:t>LTTR</w:t>
      </w:r>
      <w:r>
        <w:rPr>
          <w:sz w:val="14"/>
        </w:rPr>
        <w:t xml:space="preserve">Y(n) </w:t>
      </w:r>
      <w:r>
        <w:rPr>
          <w:position w:val="2"/>
        </w:rPr>
        <w:t>= min (minNTC</w:t>
      </w:r>
      <w:r>
        <w:rPr>
          <w:sz w:val="14"/>
        </w:rPr>
        <w:t xml:space="preserve">long-term(MY(n)) </w:t>
      </w:r>
      <w:r>
        <w:rPr>
          <w:position w:val="2"/>
        </w:rPr>
        <w:t>; 300)</w:t>
      </w:r>
    </w:p>
    <w:p w:rsidR="0087538C" w:rsidRDefault="0087538C">
      <w:pPr>
        <w:pStyle w:val="Pamatteksts"/>
        <w:spacing w:before="9"/>
        <w:rPr>
          <w:sz w:val="21"/>
        </w:rPr>
      </w:pPr>
    </w:p>
    <w:p w:rsidR="0087538C" w:rsidRDefault="00851036">
      <w:pPr>
        <w:ind w:left="864"/>
        <w:jc w:val="both"/>
      </w:pPr>
      <w:r>
        <w:rPr>
          <w:position w:val="2"/>
        </w:rPr>
        <w:t>LTTR</w:t>
      </w:r>
      <w:r>
        <w:rPr>
          <w:sz w:val="14"/>
        </w:rPr>
        <w:t xml:space="preserve">Q(n) </w:t>
      </w:r>
      <w:r>
        <w:rPr>
          <w:position w:val="2"/>
        </w:rPr>
        <w:t>= min (minNTC</w:t>
      </w:r>
      <w:r>
        <w:rPr>
          <w:sz w:val="14"/>
        </w:rPr>
        <w:t xml:space="preserve">long-term(MY(n)) </w:t>
      </w:r>
      <w:r>
        <w:rPr>
          <w:position w:val="2"/>
        </w:rPr>
        <w:t>- LTTR</w:t>
      </w:r>
      <w:r>
        <w:rPr>
          <w:sz w:val="14"/>
        </w:rPr>
        <w:t xml:space="preserve">Y(n) </w:t>
      </w:r>
      <w:r>
        <w:rPr>
          <w:position w:val="2"/>
        </w:rPr>
        <w:t>; 100</w:t>
      </w:r>
      <w:r w:rsidR="00CD4931">
        <w:rPr>
          <w:position w:val="2"/>
        </w:rPr>
        <w:t>)</w:t>
      </w:r>
    </w:p>
    <w:p w:rsidR="0087538C" w:rsidRDefault="00851036" w:rsidP="00CD4931">
      <w:pPr>
        <w:spacing w:before="7" w:line="500" w:lineRule="atLeast"/>
        <w:ind w:left="864" w:right="1837"/>
      </w:pPr>
      <w:r>
        <w:rPr>
          <w:position w:val="2"/>
        </w:rPr>
        <w:t>LTTR</w:t>
      </w:r>
      <w:r>
        <w:rPr>
          <w:sz w:val="14"/>
        </w:rPr>
        <w:t xml:space="preserve">M(n) </w:t>
      </w:r>
      <w:r>
        <w:rPr>
          <w:position w:val="2"/>
        </w:rPr>
        <w:t>= min (minNTC</w:t>
      </w:r>
      <w:r>
        <w:rPr>
          <w:sz w:val="14"/>
        </w:rPr>
        <w:t xml:space="preserve">long-term(DM(n)) </w:t>
      </w:r>
      <w:r>
        <w:rPr>
          <w:position w:val="2"/>
        </w:rPr>
        <w:t>- LTTR</w:t>
      </w:r>
      <w:r>
        <w:rPr>
          <w:sz w:val="14"/>
        </w:rPr>
        <w:t xml:space="preserve">Y(n) </w:t>
      </w:r>
      <w:r>
        <w:rPr>
          <w:position w:val="2"/>
        </w:rPr>
        <w:t>- LTTR</w:t>
      </w:r>
      <w:r>
        <w:rPr>
          <w:sz w:val="14"/>
        </w:rPr>
        <w:t xml:space="preserve">Q(n) </w:t>
      </w:r>
      <w:r>
        <w:rPr>
          <w:position w:val="2"/>
        </w:rPr>
        <w:t>; 150)</w:t>
      </w:r>
      <w:r w:rsidR="00CD4931">
        <w:rPr>
          <w:position w:val="2"/>
        </w:rPr>
        <w:t>,</w:t>
      </w:r>
      <w:r>
        <w:rPr>
          <w:position w:val="2"/>
        </w:rPr>
        <w:t xml:space="preserve"> </w:t>
      </w:r>
      <w:r w:rsidR="00CD4931">
        <w:t>where</w:t>
      </w:r>
      <w:r>
        <w:t>:</w:t>
      </w:r>
    </w:p>
    <w:p w:rsidR="0087538C" w:rsidRDefault="00851036">
      <w:pPr>
        <w:pStyle w:val="Pamatteksts"/>
        <w:spacing w:before="2"/>
        <w:ind w:left="2991" w:right="115" w:hanging="1703"/>
        <w:jc w:val="both"/>
      </w:pPr>
      <w:r>
        <w:rPr>
          <w:position w:val="2"/>
        </w:rPr>
        <w:t>minNTC</w:t>
      </w:r>
      <w:r>
        <w:rPr>
          <w:sz w:val="14"/>
        </w:rPr>
        <w:t xml:space="preserve">long-term(MY(n)) </w:t>
      </w:r>
      <w:r>
        <w:rPr>
          <w:position w:val="2"/>
        </w:rPr>
        <w:t xml:space="preserve">– the minimum forecasted monthly NTC value in MW of the long- </w:t>
      </w:r>
      <w:r>
        <w:t>term cross-zonal capacity for respective border and respective year (n) or quarter (n);</w:t>
      </w:r>
    </w:p>
    <w:p w:rsidR="0087538C" w:rsidRDefault="00851036">
      <w:pPr>
        <w:pStyle w:val="Pamatteksts"/>
        <w:ind w:left="2991" w:right="113" w:hanging="1703"/>
        <w:jc w:val="both"/>
      </w:pPr>
      <w:r>
        <w:rPr>
          <w:position w:val="2"/>
        </w:rPr>
        <w:t>minNTC</w:t>
      </w:r>
      <w:r>
        <w:rPr>
          <w:sz w:val="14"/>
        </w:rPr>
        <w:t xml:space="preserve">long-term(DM(n)) </w:t>
      </w:r>
      <w:r>
        <w:rPr>
          <w:position w:val="2"/>
        </w:rPr>
        <w:t xml:space="preserve">– the minimum forecasted daily NTC value in MW of the long-term </w:t>
      </w:r>
      <w:r>
        <w:t>cross-zonal capacity for respective border and respective month n;</w:t>
      </w:r>
    </w:p>
    <w:p w:rsidR="0087538C" w:rsidRDefault="00851036">
      <w:pPr>
        <w:pStyle w:val="Pamatteksts"/>
        <w:tabs>
          <w:tab w:val="left" w:pos="2991"/>
        </w:tabs>
        <w:spacing w:line="252" w:lineRule="exact"/>
        <w:ind w:left="1289"/>
        <w:jc w:val="both"/>
      </w:pPr>
      <w:r>
        <w:rPr>
          <w:position w:val="2"/>
        </w:rPr>
        <w:t>LTTR</w:t>
      </w:r>
      <w:r>
        <w:rPr>
          <w:sz w:val="14"/>
        </w:rPr>
        <w:t>Y(n)</w:t>
      </w:r>
      <w:r>
        <w:rPr>
          <w:spacing w:val="17"/>
          <w:sz w:val="14"/>
        </w:rPr>
        <w:t xml:space="preserve"> </w:t>
      </w:r>
      <w:r>
        <w:rPr>
          <w:position w:val="2"/>
        </w:rPr>
        <w:t>–</w:t>
      </w:r>
      <w:r>
        <w:rPr>
          <w:position w:val="2"/>
        </w:rPr>
        <w:tab/>
        <w:t>LTTR capacity offered in yearly timeframe for year</w:t>
      </w:r>
      <w:r>
        <w:rPr>
          <w:spacing w:val="-13"/>
          <w:position w:val="2"/>
        </w:rPr>
        <w:t xml:space="preserve"> </w:t>
      </w:r>
      <w:r>
        <w:rPr>
          <w:position w:val="2"/>
        </w:rPr>
        <w:t>n;</w:t>
      </w:r>
    </w:p>
    <w:p w:rsidR="0087538C" w:rsidRDefault="00851036">
      <w:pPr>
        <w:pStyle w:val="Pamatteksts"/>
        <w:tabs>
          <w:tab w:val="left" w:pos="2991"/>
        </w:tabs>
        <w:ind w:left="1289" w:right="468"/>
        <w:jc w:val="both"/>
      </w:pPr>
      <w:r>
        <w:rPr>
          <w:position w:val="2"/>
        </w:rPr>
        <w:t>LTTR</w:t>
      </w:r>
      <w:r>
        <w:rPr>
          <w:sz w:val="14"/>
        </w:rPr>
        <w:t>Q(n)</w:t>
      </w:r>
      <w:r>
        <w:rPr>
          <w:spacing w:val="17"/>
          <w:sz w:val="14"/>
        </w:rPr>
        <w:t xml:space="preserve"> </w:t>
      </w:r>
      <w:r>
        <w:rPr>
          <w:position w:val="2"/>
        </w:rPr>
        <w:t>–</w:t>
      </w:r>
      <w:r>
        <w:rPr>
          <w:position w:val="2"/>
        </w:rPr>
        <w:tab/>
        <w:t>LTTR capacity offered in relevant quarterly timeframe for year n; LTTR</w:t>
      </w:r>
      <w:r>
        <w:rPr>
          <w:sz w:val="14"/>
        </w:rPr>
        <w:t>M(n)</w:t>
      </w:r>
      <w:r>
        <w:rPr>
          <w:spacing w:val="-2"/>
          <w:sz w:val="14"/>
        </w:rPr>
        <w:t xml:space="preserve"> </w:t>
      </w:r>
      <w:r>
        <w:rPr>
          <w:position w:val="2"/>
        </w:rPr>
        <w:t>–</w:t>
      </w:r>
      <w:r>
        <w:rPr>
          <w:position w:val="2"/>
        </w:rPr>
        <w:tab/>
        <w:t>LTTR capacity offered in relevant monthly timeframe for year</w:t>
      </w:r>
      <w:r>
        <w:rPr>
          <w:spacing w:val="-16"/>
          <w:position w:val="2"/>
        </w:rPr>
        <w:t xml:space="preserve"> </w:t>
      </w:r>
      <w:r>
        <w:rPr>
          <w:position w:val="2"/>
        </w:rPr>
        <w:t>n.</w:t>
      </w:r>
    </w:p>
    <w:p w:rsidR="0087538C" w:rsidRDefault="0087538C">
      <w:pPr>
        <w:pStyle w:val="Pamatteksts"/>
        <w:spacing w:before="10"/>
        <w:rPr>
          <w:sz w:val="31"/>
        </w:rPr>
      </w:pPr>
    </w:p>
    <w:p w:rsidR="0087538C" w:rsidRDefault="00851036">
      <w:pPr>
        <w:pStyle w:val="Virsraksts1"/>
      </w:pPr>
      <w:r>
        <w:t>Article 5</w:t>
      </w:r>
    </w:p>
    <w:p w:rsidR="0087538C" w:rsidRDefault="00851036">
      <w:pPr>
        <w:spacing w:before="120" w:line="343" w:lineRule="auto"/>
        <w:ind w:left="404" w:right="367"/>
        <w:jc w:val="center"/>
        <w:rPr>
          <w:b/>
          <w:sz w:val="24"/>
        </w:rPr>
      </w:pPr>
      <w:r>
        <w:rPr>
          <w:b/>
          <w:sz w:val="24"/>
        </w:rPr>
        <w:t>Rules for avoiding undue discrimination of access to purchase of long term transmissions right</w:t>
      </w:r>
    </w:p>
    <w:p w:rsidR="0087538C" w:rsidRDefault="00851036">
      <w:pPr>
        <w:pStyle w:val="Sarakstarindkopa"/>
        <w:numPr>
          <w:ilvl w:val="0"/>
          <w:numId w:val="5"/>
        </w:numPr>
        <w:tabs>
          <w:tab w:val="left" w:pos="392"/>
        </w:tabs>
        <w:spacing w:before="158"/>
        <w:ind w:right="117" w:firstLine="0"/>
        <w:jc w:val="both"/>
      </w:pPr>
      <w:r>
        <w:t>In accordance with article 16(2c) of FCA Regulation there shall be no restrictions on the access to purchase</w:t>
      </w:r>
      <w:r>
        <w:rPr>
          <w:spacing w:val="-7"/>
        </w:rPr>
        <w:t xml:space="preserve"> </w:t>
      </w:r>
      <w:r>
        <w:t>LTTR</w:t>
      </w:r>
      <w:r>
        <w:rPr>
          <w:spacing w:val="-5"/>
        </w:rPr>
        <w:t xml:space="preserve"> </w:t>
      </w:r>
      <w:r>
        <w:t>that</w:t>
      </w:r>
      <w:r>
        <w:rPr>
          <w:spacing w:val="-5"/>
        </w:rPr>
        <w:t xml:space="preserve"> </w:t>
      </w:r>
      <w:r>
        <w:t>lead</w:t>
      </w:r>
      <w:r>
        <w:rPr>
          <w:spacing w:val="-6"/>
        </w:rPr>
        <w:t xml:space="preserve"> </w:t>
      </w:r>
      <w:r>
        <w:t>to</w:t>
      </w:r>
      <w:r>
        <w:rPr>
          <w:spacing w:val="-4"/>
        </w:rPr>
        <w:t xml:space="preserve"> </w:t>
      </w:r>
      <w:r>
        <w:t>undue</w:t>
      </w:r>
      <w:r>
        <w:rPr>
          <w:spacing w:val="-4"/>
        </w:rPr>
        <w:t xml:space="preserve"> </w:t>
      </w:r>
      <w:r>
        <w:t>discrimination</w:t>
      </w:r>
      <w:r>
        <w:rPr>
          <w:spacing w:val="-6"/>
        </w:rPr>
        <w:t xml:space="preserve"> </w:t>
      </w:r>
      <w:r>
        <w:t>of</w:t>
      </w:r>
      <w:r>
        <w:rPr>
          <w:spacing w:val="-3"/>
        </w:rPr>
        <w:t xml:space="preserve"> </w:t>
      </w:r>
      <w:r>
        <w:t>access</w:t>
      </w:r>
      <w:r>
        <w:rPr>
          <w:spacing w:val="-6"/>
        </w:rPr>
        <w:t xml:space="preserve"> </w:t>
      </w:r>
      <w:r>
        <w:t>to</w:t>
      </w:r>
      <w:r>
        <w:rPr>
          <w:spacing w:val="-4"/>
        </w:rPr>
        <w:t xml:space="preserve"> </w:t>
      </w:r>
      <w:r>
        <w:t>purchase</w:t>
      </w:r>
      <w:r>
        <w:rPr>
          <w:spacing w:val="-6"/>
        </w:rPr>
        <w:t xml:space="preserve"> </w:t>
      </w:r>
      <w:r>
        <w:t>LTTR</w:t>
      </w:r>
      <w:r>
        <w:rPr>
          <w:spacing w:val="-6"/>
        </w:rPr>
        <w:t xml:space="preserve"> </w:t>
      </w:r>
      <w:r>
        <w:t>or</w:t>
      </w:r>
      <w:r>
        <w:rPr>
          <w:spacing w:val="-5"/>
        </w:rPr>
        <w:t xml:space="preserve"> </w:t>
      </w:r>
      <w:r>
        <w:t>undue</w:t>
      </w:r>
      <w:r>
        <w:rPr>
          <w:spacing w:val="-6"/>
        </w:rPr>
        <w:t xml:space="preserve"> </w:t>
      </w:r>
      <w:r>
        <w:t>restrictions</w:t>
      </w:r>
      <w:r>
        <w:rPr>
          <w:spacing w:val="-6"/>
        </w:rPr>
        <w:t xml:space="preserve"> </w:t>
      </w:r>
      <w:r>
        <w:t>in competition between purchasers of LTTR in the auctions of</w:t>
      </w:r>
      <w:r>
        <w:rPr>
          <w:spacing w:val="-5"/>
        </w:rPr>
        <w:t xml:space="preserve"> </w:t>
      </w:r>
      <w:r>
        <w:t>LTTR.</w:t>
      </w:r>
    </w:p>
    <w:p w:rsidR="0087538C" w:rsidRDefault="0087538C">
      <w:pPr>
        <w:pStyle w:val="Pamatteksts"/>
        <w:spacing w:before="10"/>
        <w:rPr>
          <w:sz w:val="21"/>
        </w:rPr>
      </w:pPr>
    </w:p>
    <w:p w:rsidR="0087538C" w:rsidRDefault="00851036">
      <w:pPr>
        <w:pStyle w:val="Sarakstarindkopa"/>
        <w:numPr>
          <w:ilvl w:val="0"/>
          <w:numId w:val="5"/>
        </w:numPr>
        <w:tabs>
          <w:tab w:val="left" w:pos="378"/>
        </w:tabs>
        <w:spacing w:before="1"/>
        <w:ind w:right="355" w:firstLine="0"/>
      </w:pPr>
      <w:r>
        <w:t>All market players shall be given access to purchase LTTR if they fulfil the general condition set out in Chapter 2 and 3 of the</w:t>
      </w:r>
      <w:r>
        <w:rPr>
          <w:spacing w:val="-3"/>
        </w:rPr>
        <w:t xml:space="preserve"> </w:t>
      </w:r>
      <w:r>
        <w:t>HAR.</w:t>
      </w:r>
    </w:p>
    <w:p w:rsidR="0087538C" w:rsidRDefault="0087538C">
      <w:pPr>
        <w:pStyle w:val="Pamatteksts"/>
        <w:spacing w:before="5"/>
        <w:rPr>
          <w:sz w:val="34"/>
        </w:rPr>
      </w:pPr>
    </w:p>
    <w:p w:rsidR="0087538C" w:rsidRDefault="00851036">
      <w:pPr>
        <w:pStyle w:val="Virsraksts1"/>
        <w:spacing w:before="1"/>
      </w:pPr>
      <w:r>
        <w:t>Article 6</w:t>
      </w:r>
    </w:p>
    <w:p w:rsidR="0087538C" w:rsidRDefault="00851036">
      <w:pPr>
        <w:spacing w:before="120"/>
        <w:ind w:left="408" w:right="367"/>
        <w:jc w:val="center"/>
        <w:rPr>
          <w:b/>
          <w:sz w:val="24"/>
        </w:rPr>
      </w:pPr>
      <w:r>
        <w:rPr>
          <w:b/>
          <w:sz w:val="24"/>
        </w:rPr>
        <w:t>Methodology for the validation of cross-zonal capacity allocated as LTTR for long term time frame</w:t>
      </w:r>
    </w:p>
    <w:p w:rsidR="0087538C" w:rsidRDefault="0087538C">
      <w:pPr>
        <w:pStyle w:val="Pamatteksts"/>
        <w:spacing w:before="11"/>
        <w:rPr>
          <w:b/>
          <w:sz w:val="38"/>
        </w:rPr>
      </w:pPr>
    </w:p>
    <w:p w:rsidR="0087538C" w:rsidRDefault="00851036">
      <w:pPr>
        <w:pStyle w:val="Pamatteksts"/>
        <w:ind w:left="156" w:right="111"/>
        <w:jc w:val="both"/>
      </w:pPr>
      <w:r>
        <w:t>Baltic CCR TSOs shall perform the validation of amount of LTTR on its bidding zone border(s) to ensure that the results of regional calculation of LTTR and splitting between time frames will ensure operational security. When performing the validation, the TSO shall consider operational security, taking into account new and relevant information obtained during or after the most recent capacity calculation.</w:t>
      </w:r>
    </w:p>
    <w:p w:rsidR="0087538C" w:rsidRDefault="0087538C">
      <w:pPr>
        <w:pStyle w:val="Pamatteksts"/>
        <w:spacing w:before="6"/>
        <w:rPr>
          <w:sz w:val="34"/>
        </w:rPr>
      </w:pPr>
    </w:p>
    <w:p w:rsidR="0087538C" w:rsidRDefault="00851036">
      <w:pPr>
        <w:pStyle w:val="Virsraksts1"/>
        <w:ind w:left="406"/>
      </w:pPr>
      <w:r>
        <w:t>TITLE 3</w:t>
      </w:r>
    </w:p>
    <w:p w:rsidR="0087538C" w:rsidRDefault="00851036">
      <w:pPr>
        <w:spacing w:before="120"/>
        <w:ind w:left="405" w:right="367"/>
        <w:jc w:val="center"/>
        <w:rPr>
          <w:b/>
          <w:sz w:val="24"/>
        </w:rPr>
      </w:pPr>
      <w:r>
        <w:rPr>
          <w:b/>
          <w:sz w:val="24"/>
        </w:rPr>
        <w:t>Miscellaneous</w:t>
      </w:r>
    </w:p>
    <w:p w:rsidR="0087538C" w:rsidRDefault="0087538C">
      <w:pPr>
        <w:pStyle w:val="Pamatteksts"/>
        <w:spacing w:before="5"/>
        <w:rPr>
          <w:b/>
          <w:sz w:val="34"/>
        </w:rPr>
      </w:pPr>
    </w:p>
    <w:p w:rsidR="0087538C" w:rsidRDefault="00851036">
      <w:pPr>
        <w:ind w:left="402" w:right="367"/>
        <w:jc w:val="center"/>
        <w:rPr>
          <w:b/>
          <w:sz w:val="24"/>
        </w:rPr>
      </w:pPr>
      <w:r>
        <w:rPr>
          <w:b/>
          <w:sz w:val="24"/>
        </w:rPr>
        <w:t>Article 7</w:t>
      </w:r>
    </w:p>
    <w:p w:rsidR="0087538C" w:rsidRDefault="00851036">
      <w:pPr>
        <w:spacing w:before="120"/>
        <w:ind w:left="401" w:right="367"/>
        <w:jc w:val="center"/>
        <w:rPr>
          <w:b/>
          <w:sz w:val="24"/>
        </w:rPr>
      </w:pPr>
      <w:r>
        <w:rPr>
          <w:b/>
          <w:sz w:val="24"/>
        </w:rPr>
        <w:t>Monitoring data to the national regulatory authorities</w:t>
      </w:r>
    </w:p>
    <w:p w:rsidR="0087538C" w:rsidRDefault="00851036">
      <w:pPr>
        <w:pStyle w:val="Sarakstarindkopa"/>
        <w:numPr>
          <w:ilvl w:val="0"/>
          <w:numId w:val="4"/>
        </w:numPr>
        <w:tabs>
          <w:tab w:val="left" w:pos="378"/>
        </w:tabs>
        <w:spacing w:before="76"/>
        <w:ind w:right="338" w:firstLine="0"/>
      </w:pPr>
      <w:r>
        <w:t>All technical and statistical information related to this LTCS shall be made available upon request to the NRAs in the Baltic</w:t>
      </w:r>
      <w:r>
        <w:rPr>
          <w:spacing w:val="-6"/>
        </w:rPr>
        <w:t xml:space="preserve"> </w:t>
      </w:r>
      <w:r>
        <w:t>CCR.</w:t>
      </w:r>
    </w:p>
    <w:p w:rsidR="0087538C" w:rsidRDefault="0087538C">
      <w:pPr>
        <w:pStyle w:val="Pamatteksts"/>
        <w:spacing w:before="2"/>
      </w:pPr>
    </w:p>
    <w:p w:rsidR="0087538C" w:rsidRDefault="00851036">
      <w:pPr>
        <w:pStyle w:val="Sarakstarindkopa"/>
        <w:numPr>
          <w:ilvl w:val="0"/>
          <w:numId w:val="4"/>
        </w:numPr>
        <w:tabs>
          <w:tab w:val="left" w:pos="378"/>
        </w:tabs>
        <w:ind w:right="570" w:firstLine="0"/>
      </w:pPr>
      <w:r>
        <w:t>Any data requirements should be managed in line with confidentiality requirements pursuant to national legislation.</w:t>
      </w:r>
    </w:p>
    <w:p w:rsidR="00B06E12" w:rsidRDefault="00B06E12" w:rsidP="00B06E12">
      <w:pPr>
        <w:pStyle w:val="Virsraksts1"/>
        <w:spacing w:before="119" w:line="343" w:lineRule="auto"/>
        <w:ind w:left="3718" w:right="3677" w:firstLine="530"/>
        <w:jc w:val="left"/>
      </w:pPr>
    </w:p>
    <w:p w:rsidR="00B06E12" w:rsidRDefault="00851036" w:rsidP="00B06E12">
      <w:pPr>
        <w:pStyle w:val="Virsraksts1"/>
        <w:spacing w:before="119" w:line="343" w:lineRule="auto"/>
        <w:ind w:left="3718" w:right="3677" w:firstLine="530"/>
        <w:jc w:val="left"/>
      </w:pPr>
      <w:r>
        <w:lastRenderedPageBreak/>
        <w:t>Article 8</w:t>
      </w:r>
    </w:p>
    <w:p w:rsidR="0087538C" w:rsidRDefault="00851036" w:rsidP="00B06E12">
      <w:pPr>
        <w:pStyle w:val="Virsraksts1"/>
        <w:spacing w:before="119" w:line="343" w:lineRule="auto"/>
        <w:ind w:left="3718" w:right="3677"/>
        <w:jc w:val="left"/>
      </w:pPr>
      <w:r>
        <w:t>Publication of data</w:t>
      </w:r>
    </w:p>
    <w:p w:rsidR="0087538C" w:rsidRDefault="00851036">
      <w:pPr>
        <w:pStyle w:val="Sarakstarindkopa"/>
        <w:numPr>
          <w:ilvl w:val="0"/>
          <w:numId w:val="3"/>
        </w:numPr>
        <w:tabs>
          <w:tab w:val="left" w:pos="392"/>
        </w:tabs>
        <w:spacing w:before="158"/>
        <w:ind w:right="112" w:firstLine="0"/>
        <w:jc w:val="both"/>
      </w:pPr>
      <w:r>
        <w:t>The TSOs shall, in compliance with national legislation and in accordance with Article 3(f) of the FCA Regulation, and in addition to the data items and definitions of Transparency Regulation, publish the following on a regular basis and as soon as</w:t>
      </w:r>
      <w:r>
        <w:rPr>
          <w:spacing w:val="-12"/>
        </w:rPr>
        <w:t xml:space="preserve"> </w:t>
      </w:r>
      <w:r>
        <w:t>possible:</w:t>
      </w:r>
    </w:p>
    <w:p w:rsidR="0087538C" w:rsidRDefault="0087538C">
      <w:pPr>
        <w:pStyle w:val="Pamatteksts"/>
        <w:spacing w:before="1"/>
      </w:pPr>
    </w:p>
    <w:p w:rsidR="0087538C" w:rsidRDefault="00851036">
      <w:pPr>
        <w:pStyle w:val="Sarakstarindkopa"/>
        <w:numPr>
          <w:ilvl w:val="1"/>
          <w:numId w:val="3"/>
        </w:numPr>
        <w:tabs>
          <w:tab w:val="left" w:pos="1090"/>
        </w:tabs>
        <w:spacing w:line="253" w:lineRule="exact"/>
      </w:pPr>
      <w:r>
        <w:t>The marginal auction price for each time</w:t>
      </w:r>
      <w:r>
        <w:rPr>
          <w:spacing w:val="-3"/>
        </w:rPr>
        <w:t xml:space="preserve"> </w:t>
      </w:r>
      <w:r>
        <w:t>frame;</w:t>
      </w:r>
    </w:p>
    <w:p w:rsidR="0087538C" w:rsidRDefault="00851036">
      <w:pPr>
        <w:pStyle w:val="Sarakstarindkopa"/>
        <w:numPr>
          <w:ilvl w:val="1"/>
          <w:numId w:val="3"/>
        </w:numPr>
        <w:tabs>
          <w:tab w:val="left" w:pos="1102"/>
        </w:tabs>
        <w:ind w:left="1101" w:hanging="238"/>
      </w:pPr>
      <w:r>
        <w:t>The demand curve for LTTR for each time</w:t>
      </w:r>
      <w:r>
        <w:rPr>
          <w:spacing w:val="-5"/>
        </w:rPr>
        <w:t xml:space="preserve"> </w:t>
      </w:r>
      <w:r>
        <w:t>frame.</w:t>
      </w:r>
    </w:p>
    <w:p w:rsidR="0087538C" w:rsidRDefault="0087538C">
      <w:pPr>
        <w:pStyle w:val="Pamatteksts"/>
      </w:pPr>
    </w:p>
    <w:p w:rsidR="0087538C" w:rsidRDefault="00851036">
      <w:pPr>
        <w:pStyle w:val="Sarakstarindkopa"/>
        <w:numPr>
          <w:ilvl w:val="0"/>
          <w:numId w:val="3"/>
        </w:numPr>
        <w:tabs>
          <w:tab w:val="left" w:pos="378"/>
        </w:tabs>
        <w:ind w:left="377" w:hanging="222"/>
        <w:jc w:val="both"/>
      </w:pPr>
      <w:r>
        <w:t>The publication of the following information can be done on behalf of TSOs on JAO’s web</w:t>
      </w:r>
      <w:r>
        <w:rPr>
          <w:spacing w:val="-32"/>
        </w:rPr>
        <w:t xml:space="preserve"> </w:t>
      </w:r>
      <w:r>
        <w:t>page.</w:t>
      </w:r>
    </w:p>
    <w:p w:rsidR="0087538C" w:rsidRDefault="0087538C">
      <w:pPr>
        <w:pStyle w:val="Pamatteksts"/>
        <w:rPr>
          <w:sz w:val="34"/>
        </w:rPr>
      </w:pPr>
    </w:p>
    <w:p w:rsidR="0087538C" w:rsidRDefault="00851036">
      <w:pPr>
        <w:pStyle w:val="Virsraksts1"/>
      </w:pPr>
      <w:r>
        <w:t>Article 9</w:t>
      </w:r>
    </w:p>
    <w:p w:rsidR="0087538C" w:rsidRDefault="00851036">
      <w:pPr>
        <w:spacing w:before="120"/>
        <w:ind w:left="400" w:right="367"/>
        <w:jc w:val="center"/>
        <w:rPr>
          <w:b/>
          <w:sz w:val="24"/>
        </w:rPr>
      </w:pPr>
      <w:r>
        <w:rPr>
          <w:b/>
          <w:sz w:val="24"/>
        </w:rPr>
        <w:t>Capacity calculation process</w:t>
      </w:r>
    </w:p>
    <w:p w:rsidR="0087538C" w:rsidRDefault="0087538C">
      <w:pPr>
        <w:pStyle w:val="Pamatteksts"/>
        <w:spacing w:before="11"/>
        <w:rPr>
          <w:b/>
          <w:sz w:val="23"/>
        </w:rPr>
      </w:pPr>
    </w:p>
    <w:p w:rsidR="0087538C" w:rsidRDefault="00851036">
      <w:pPr>
        <w:pStyle w:val="Sarakstarindkopa"/>
        <w:numPr>
          <w:ilvl w:val="0"/>
          <w:numId w:val="2"/>
        </w:numPr>
        <w:tabs>
          <w:tab w:val="left" w:pos="385"/>
        </w:tabs>
        <w:ind w:right="114" w:firstLine="0"/>
        <w:jc w:val="both"/>
      </w:pPr>
      <w:r>
        <w:t xml:space="preserve">Within the capacity calculation process, reduction periods may be defined in accordance with </w:t>
      </w:r>
      <w:r>
        <w:rPr>
          <w:spacing w:val="-2"/>
        </w:rPr>
        <w:t xml:space="preserve">HAR </w:t>
      </w:r>
      <w:r>
        <w:t>Article 30. The reduction periods will not be taken into account when using the LTCS cf. Article</w:t>
      </w:r>
      <w:r>
        <w:rPr>
          <w:spacing w:val="-24"/>
        </w:rPr>
        <w:t xml:space="preserve"> </w:t>
      </w:r>
      <w:r>
        <w:t>4.</w:t>
      </w:r>
    </w:p>
    <w:p w:rsidR="0087538C" w:rsidRDefault="0087538C">
      <w:pPr>
        <w:pStyle w:val="Pamatteksts"/>
        <w:spacing w:before="11"/>
        <w:rPr>
          <w:sz w:val="21"/>
        </w:rPr>
      </w:pPr>
    </w:p>
    <w:p w:rsidR="0087538C" w:rsidRDefault="00851036">
      <w:pPr>
        <w:pStyle w:val="Sarakstarindkopa"/>
        <w:numPr>
          <w:ilvl w:val="0"/>
          <w:numId w:val="2"/>
        </w:numPr>
        <w:tabs>
          <w:tab w:val="left" w:pos="392"/>
        </w:tabs>
        <w:ind w:right="111" w:firstLine="0"/>
        <w:jc w:val="both"/>
      </w:pPr>
      <w:r>
        <w:t>When the amount of LTTR are provided to the SAP for the auction the reduction periods will be included in the final product. This ensures that the final product allocated to the market via the SAP includes reduction periods as given by the capacity calculation</w:t>
      </w:r>
      <w:r>
        <w:rPr>
          <w:spacing w:val="-14"/>
        </w:rPr>
        <w:t xml:space="preserve"> </w:t>
      </w:r>
      <w:r>
        <w:t>process.</w:t>
      </w:r>
    </w:p>
    <w:p w:rsidR="0087538C" w:rsidRDefault="0087538C">
      <w:pPr>
        <w:pStyle w:val="Pamatteksts"/>
        <w:spacing w:before="4"/>
        <w:rPr>
          <w:sz w:val="32"/>
        </w:rPr>
      </w:pPr>
    </w:p>
    <w:p w:rsidR="0087538C" w:rsidRDefault="00851036">
      <w:pPr>
        <w:pStyle w:val="Virsraksts1"/>
        <w:ind w:left="406"/>
      </w:pPr>
      <w:r>
        <w:t>TITLE 4</w:t>
      </w:r>
    </w:p>
    <w:p w:rsidR="0087538C" w:rsidRDefault="00851036">
      <w:pPr>
        <w:spacing w:before="120"/>
        <w:ind w:left="407" w:right="367"/>
        <w:jc w:val="center"/>
        <w:rPr>
          <w:b/>
          <w:sz w:val="24"/>
        </w:rPr>
      </w:pPr>
      <w:r>
        <w:rPr>
          <w:b/>
          <w:sz w:val="24"/>
        </w:rPr>
        <w:t>Final provisions</w:t>
      </w:r>
    </w:p>
    <w:p w:rsidR="0087538C" w:rsidRDefault="0087538C">
      <w:pPr>
        <w:pStyle w:val="Pamatteksts"/>
        <w:spacing w:before="5"/>
        <w:rPr>
          <w:b/>
          <w:sz w:val="34"/>
        </w:rPr>
      </w:pPr>
    </w:p>
    <w:p w:rsidR="00B06E12" w:rsidRDefault="00851036" w:rsidP="00B06E12">
      <w:pPr>
        <w:spacing w:line="343" w:lineRule="auto"/>
        <w:ind w:left="3032" w:right="2996" w:firstLine="1156"/>
        <w:jc w:val="both"/>
        <w:rPr>
          <w:b/>
          <w:sz w:val="24"/>
        </w:rPr>
      </w:pPr>
      <w:r>
        <w:rPr>
          <w:b/>
          <w:sz w:val="24"/>
        </w:rPr>
        <w:t xml:space="preserve">Article 10 </w:t>
      </w:r>
    </w:p>
    <w:p w:rsidR="0087538C" w:rsidRDefault="00851036" w:rsidP="00B06E12">
      <w:pPr>
        <w:spacing w:line="343" w:lineRule="auto"/>
        <w:ind w:left="3032" w:right="2996"/>
        <w:jc w:val="both"/>
        <w:rPr>
          <w:b/>
          <w:sz w:val="24"/>
        </w:rPr>
      </w:pPr>
      <w:r>
        <w:rPr>
          <w:b/>
          <w:sz w:val="24"/>
        </w:rPr>
        <w:t>Publication and Implementation</w:t>
      </w:r>
    </w:p>
    <w:p w:rsidR="0087538C" w:rsidRDefault="00851036">
      <w:pPr>
        <w:pStyle w:val="Sarakstarindkopa"/>
        <w:numPr>
          <w:ilvl w:val="0"/>
          <w:numId w:val="1"/>
        </w:numPr>
        <w:tabs>
          <w:tab w:val="left" w:pos="414"/>
        </w:tabs>
        <w:spacing w:before="159"/>
        <w:ind w:right="113" w:firstLine="0"/>
        <w:jc w:val="both"/>
      </w:pPr>
      <w:r>
        <w:t xml:space="preserve">Batic CCR TSOs shall publish the LTCS without undue delay after the Baltic CCR NRAs has approved the LTCS or a decision has been taken by the Agency for the Cooperation of Energy Regulators in accordance with Article 4(9), Article 4(10) and Article (11) of </w:t>
      </w:r>
      <w:r>
        <w:rPr>
          <w:spacing w:val="2"/>
        </w:rPr>
        <w:t xml:space="preserve">the </w:t>
      </w:r>
      <w:r>
        <w:t>FCA Regulation regarding the</w:t>
      </w:r>
      <w:r>
        <w:rPr>
          <w:spacing w:val="-4"/>
        </w:rPr>
        <w:t xml:space="preserve"> </w:t>
      </w:r>
      <w:r>
        <w:t>methodology.</w:t>
      </w:r>
    </w:p>
    <w:p w:rsidR="0087538C" w:rsidRDefault="0087538C">
      <w:pPr>
        <w:pStyle w:val="Pamatteksts"/>
      </w:pPr>
    </w:p>
    <w:p w:rsidR="0087538C" w:rsidRDefault="00851036">
      <w:pPr>
        <w:pStyle w:val="Sarakstarindkopa"/>
        <w:numPr>
          <w:ilvl w:val="0"/>
          <w:numId w:val="1"/>
        </w:numPr>
        <w:tabs>
          <w:tab w:val="left" w:pos="389"/>
        </w:tabs>
        <w:ind w:right="112" w:firstLine="0"/>
        <w:jc w:val="both"/>
      </w:pPr>
      <w:r>
        <w:t>The methodology will be implemented at the same time of the implementation of methodology for long</w:t>
      </w:r>
      <w:r>
        <w:rPr>
          <w:spacing w:val="-13"/>
        </w:rPr>
        <w:t xml:space="preserve"> </w:t>
      </w:r>
      <w:r>
        <w:t>term</w:t>
      </w:r>
      <w:r>
        <w:rPr>
          <w:spacing w:val="-14"/>
        </w:rPr>
        <w:t xml:space="preserve"> </w:t>
      </w:r>
      <w:r>
        <w:t>capacity</w:t>
      </w:r>
      <w:r>
        <w:rPr>
          <w:spacing w:val="-12"/>
        </w:rPr>
        <w:t xml:space="preserve"> </w:t>
      </w:r>
      <w:r>
        <w:t>calculation</w:t>
      </w:r>
      <w:r>
        <w:rPr>
          <w:spacing w:val="-10"/>
        </w:rPr>
        <w:t xml:space="preserve"> </w:t>
      </w:r>
      <w:r>
        <w:t>or</w:t>
      </w:r>
      <w:r>
        <w:rPr>
          <w:spacing w:val="-9"/>
        </w:rPr>
        <w:t xml:space="preserve"> </w:t>
      </w:r>
      <w:r>
        <w:t>a</w:t>
      </w:r>
      <w:r>
        <w:rPr>
          <w:spacing w:val="-10"/>
        </w:rPr>
        <w:t xml:space="preserve"> </w:t>
      </w:r>
      <w:r>
        <w:t>decision</w:t>
      </w:r>
      <w:r>
        <w:rPr>
          <w:spacing w:val="-11"/>
        </w:rPr>
        <w:t xml:space="preserve"> </w:t>
      </w:r>
      <w:r>
        <w:t>has</w:t>
      </w:r>
      <w:r>
        <w:rPr>
          <w:spacing w:val="-12"/>
        </w:rPr>
        <w:t xml:space="preserve"> </w:t>
      </w:r>
      <w:r>
        <w:t>been</w:t>
      </w:r>
      <w:r>
        <w:rPr>
          <w:spacing w:val="-12"/>
        </w:rPr>
        <w:t xml:space="preserve"> </w:t>
      </w:r>
      <w:r>
        <w:t>taken</w:t>
      </w:r>
      <w:r>
        <w:rPr>
          <w:spacing w:val="-10"/>
        </w:rPr>
        <w:t xml:space="preserve"> </w:t>
      </w:r>
      <w:r>
        <w:t>by</w:t>
      </w:r>
      <w:r>
        <w:rPr>
          <w:spacing w:val="-12"/>
        </w:rPr>
        <w:t xml:space="preserve"> </w:t>
      </w:r>
      <w:r>
        <w:t>the</w:t>
      </w:r>
      <w:r>
        <w:rPr>
          <w:spacing w:val="-10"/>
        </w:rPr>
        <w:t xml:space="preserve"> </w:t>
      </w:r>
      <w:r>
        <w:t>Agency</w:t>
      </w:r>
      <w:r>
        <w:rPr>
          <w:spacing w:val="-13"/>
        </w:rPr>
        <w:t xml:space="preserve"> </w:t>
      </w:r>
      <w:r>
        <w:t>for</w:t>
      </w:r>
      <w:r>
        <w:rPr>
          <w:spacing w:val="-9"/>
        </w:rPr>
        <w:t xml:space="preserve"> </w:t>
      </w:r>
      <w:r>
        <w:t>the</w:t>
      </w:r>
      <w:r>
        <w:rPr>
          <w:spacing w:val="-10"/>
        </w:rPr>
        <w:t xml:space="preserve"> </w:t>
      </w:r>
      <w:r>
        <w:t>Cooperation</w:t>
      </w:r>
      <w:r>
        <w:rPr>
          <w:spacing w:val="-10"/>
        </w:rPr>
        <w:t xml:space="preserve"> </w:t>
      </w:r>
      <w:r>
        <w:t>of</w:t>
      </w:r>
      <w:r>
        <w:rPr>
          <w:spacing w:val="-9"/>
        </w:rPr>
        <w:t xml:space="preserve"> </w:t>
      </w:r>
      <w:r>
        <w:t>Energy Regulators in accordance with Article 4(9), Article 4(10) and Article (11) of the FCA Regulation regarding the</w:t>
      </w:r>
      <w:r>
        <w:rPr>
          <w:spacing w:val="-4"/>
        </w:rPr>
        <w:t xml:space="preserve"> </w:t>
      </w:r>
      <w:r>
        <w:t>methodology.</w:t>
      </w:r>
    </w:p>
    <w:p w:rsidR="0087538C" w:rsidRDefault="0087538C">
      <w:pPr>
        <w:pStyle w:val="Pamatteksts"/>
        <w:spacing w:before="5"/>
        <w:rPr>
          <w:sz w:val="32"/>
        </w:rPr>
      </w:pPr>
    </w:p>
    <w:p w:rsidR="0087538C" w:rsidRDefault="00851036">
      <w:pPr>
        <w:pStyle w:val="Virsraksts1"/>
        <w:spacing w:line="343" w:lineRule="auto"/>
        <w:ind w:left="4186" w:right="4142" w:firstLine="2"/>
        <w:jc w:val="both"/>
      </w:pPr>
      <w:r>
        <w:t>Article 12 Language</w:t>
      </w:r>
    </w:p>
    <w:p w:rsidR="0087538C" w:rsidRDefault="00851036" w:rsidP="00B06E12">
      <w:pPr>
        <w:pStyle w:val="Pamatteksts"/>
        <w:spacing w:before="159"/>
        <w:ind w:left="156" w:right="112"/>
        <w:jc w:val="both"/>
      </w:pPr>
      <w:r>
        <w:t>The reference language for this LTCS shall be English. For the avoidance of doubt, where TSOs need to</w:t>
      </w:r>
      <w:r>
        <w:rPr>
          <w:spacing w:val="-14"/>
        </w:rPr>
        <w:t xml:space="preserve"> </w:t>
      </w:r>
      <w:r>
        <w:t>translate</w:t>
      </w:r>
      <w:r>
        <w:rPr>
          <w:spacing w:val="-13"/>
        </w:rPr>
        <w:t xml:space="preserve"> </w:t>
      </w:r>
      <w:r>
        <w:t>this</w:t>
      </w:r>
      <w:r>
        <w:rPr>
          <w:spacing w:val="-12"/>
        </w:rPr>
        <w:t xml:space="preserve"> </w:t>
      </w:r>
      <w:r>
        <w:t>LTCS</w:t>
      </w:r>
      <w:r>
        <w:rPr>
          <w:spacing w:val="-14"/>
        </w:rPr>
        <w:t xml:space="preserve"> </w:t>
      </w:r>
      <w:r>
        <w:t>into</w:t>
      </w:r>
      <w:r>
        <w:rPr>
          <w:spacing w:val="-13"/>
        </w:rPr>
        <w:t xml:space="preserve"> </w:t>
      </w:r>
      <w:r>
        <w:t>their</w:t>
      </w:r>
      <w:r>
        <w:rPr>
          <w:spacing w:val="-13"/>
        </w:rPr>
        <w:t xml:space="preserve"> </w:t>
      </w:r>
      <w:r>
        <w:t>national</w:t>
      </w:r>
      <w:r>
        <w:rPr>
          <w:spacing w:val="-12"/>
        </w:rPr>
        <w:t xml:space="preserve"> </w:t>
      </w:r>
      <w:r>
        <w:t>language(s),</w:t>
      </w:r>
      <w:r>
        <w:rPr>
          <w:spacing w:val="-13"/>
        </w:rPr>
        <w:t xml:space="preserve"> </w:t>
      </w:r>
      <w:r>
        <w:t>in</w:t>
      </w:r>
      <w:r>
        <w:rPr>
          <w:spacing w:val="-16"/>
        </w:rPr>
        <w:t xml:space="preserve"> </w:t>
      </w:r>
      <w:r>
        <w:t>the</w:t>
      </w:r>
      <w:r>
        <w:rPr>
          <w:spacing w:val="-13"/>
        </w:rPr>
        <w:t xml:space="preserve"> </w:t>
      </w:r>
      <w:r>
        <w:t>event</w:t>
      </w:r>
      <w:r>
        <w:rPr>
          <w:spacing w:val="-9"/>
        </w:rPr>
        <w:t xml:space="preserve"> </w:t>
      </w:r>
      <w:r>
        <w:t>of</w:t>
      </w:r>
      <w:r>
        <w:rPr>
          <w:spacing w:val="-13"/>
        </w:rPr>
        <w:t xml:space="preserve"> </w:t>
      </w:r>
      <w:r>
        <w:t>inconsistencies</w:t>
      </w:r>
      <w:r>
        <w:rPr>
          <w:spacing w:val="-15"/>
        </w:rPr>
        <w:t xml:space="preserve"> </w:t>
      </w:r>
      <w:r>
        <w:t>between</w:t>
      </w:r>
      <w:r>
        <w:rPr>
          <w:spacing w:val="-13"/>
        </w:rPr>
        <w:t xml:space="preserve"> </w:t>
      </w:r>
      <w:r>
        <w:t>the</w:t>
      </w:r>
      <w:r>
        <w:rPr>
          <w:spacing w:val="-11"/>
        </w:rPr>
        <w:t xml:space="preserve"> </w:t>
      </w:r>
      <w:r>
        <w:t>English version published by TSOs in accordance with Article 4(13) of the FCA Regulation and any version</w:t>
      </w:r>
      <w:r>
        <w:rPr>
          <w:spacing w:val="3"/>
        </w:rPr>
        <w:t xml:space="preserve"> </w:t>
      </w:r>
      <w:r>
        <w:t>in</w:t>
      </w:r>
      <w:r w:rsidR="00B06E12">
        <w:t xml:space="preserve"> </w:t>
      </w:r>
      <w:bookmarkStart w:id="0" w:name="_GoBack"/>
      <w:bookmarkEnd w:id="0"/>
      <w:r>
        <w:t>another</w:t>
      </w:r>
      <w:r>
        <w:rPr>
          <w:spacing w:val="-14"/>
        </w:rPr>
        <w:t xml:space="preserve"> </w:t>
      </w:r>
      <w:r>
        <w:t>language,</w:t>
      </w:r>
      <w:r>
        <w:rPr>
          <w:spacing w:val="-13"/>
        </w:rPr>
        <w:t xml:space="preserve"> </w:t>
      </w:r>
      <w:r>
        <w:t>the</w:t>
      </w:r>
      <w:r>
        <w:rPr>
          <w:spacing w:val="-15"/>
        </w:rPr>
        <w:t xml:space="preserve"> </w:t>
      </w:r>
      <w:r>
        <w:t>relevant</w:t>
      </w:r>
      <w:r>
        <w:rPr>
          <w:spacing w:val="-14"/>
        </w:rPr>
        <w:t xml:space="preserve"> </w:t>
      </w:r>
      <w:r>
        <w:t>TSOs</w:t>
      </w:r>
      <w:r>
        <w:rPr>
          <w:spacing w:val="-13"/>
        </w:rPr>
        <w:t xml:space="preserve"> </w:t>
      </w:r>
      <w:r>
        <w:t>shall</w:t>
      </w:r>
      <w:r>
        <w:rPr>
          <w:spacing w:val="-12"/>
        </w:rPr>
        <w:t xml:space="preserve"> </w:t>
      </w:r>
      <w:r>
        <w:t>be</w:t>
      </w:r>
      <w:r>
        <w:rPr>
          <w:spacing w:val="-12"/>
        </w:rPr>
        <w:t xml:space="preserve"> </w:t>
      </w:r>
      <w:r>
        <w:t>obliged</w:t>
      </w:r>
      <w:r>
        <w:rPr>
          <w:spacing w:val="-13"/>
        </w:rPr>
        <w:t xml:space="preserve"> </w:t>
      </w:r>
      <w:r>
        <w:t>to</w:t>
      </w:r>
      <w:r>
        <w:rPr>
          <w:spacing w:val="-16"/>
        </w:rPr>
        <w:t xml:space="preserve"> </w:t>
      </w:r>
      <w:r>
        <w:t>dispel</w:t>
      </w:r>
      <w:r>
        <w:rPr>
          <w:spacing w:val="-11"/>
        </w:rPr>
        <w:t xml:space="preserve"> </w:t>
      </w:r>
      <w:r>
        <w:t>any</w:t>
      </w:r>
      <w:r>
        <w:rPr>
          <w:spacing w:val="-16"/>
        </w:rPr>
        <w:t xml:space="preserve"> </w:t>
      </w:r>
      <w:r>
        <w:t>inconsistencies</w:t>
      </w:r>
      <w:r>
        <w:rPr>
          <w:spacing w:val="-13"/>
        </w:rPr>
        <w:t xml:space="preserve"> </w:t>
      </w:r>
      <w:r>
        <w:t>by</w:t>
      </w:r>
      <w:r>
        <w:rPr>
          <w:spacing w:val="-13"/>
        </w:rPr>
        <w:t xml:space="preserve"> </w:t>
      </w:r>
      <w:r>
        <w:t>providing</w:t>
      </w:r>
      <w:r>
        <w:rPr>
          <w:spacing w:val="-16"/>
        </w:rPr>
        <w:t xml:space="preserve"> </w:t>
      </w:r>
      <w:r>
        <w:t>a</w:t>
      </w:r>
      <w:r>
        <w:rPr>
          <w:spacing w:val="-13"/>
        </w:rPr>
        <w:t xml:space="preserve"> </w:t>
      </w:r>
      <w:r>
        <w:t>revised translation of this LTCS to their relevant national regulatory</w:t>
      </w:r>
      <w:r>
        <w:rPr>
          <w:spacing w:val="-11"/>
        </w:rPr>
        <w:t xml:space="preserve"> </w:t>
      </w:r>
      <w:r>
        <w:t>authorities.</w:t>
      </w:r>
    </w:p>
    <w:sectPr w:rsidR="0087538C">
      <w:pgSz w:w="11910" w:h="16840"/>
      <w:pgMar w:top="1320" w:right="1300" w:bottom="1200" w:left="126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D38" w:rsidRDefault="00583D38">
      <w:r>
        <w:separator/>
      </w:r>
    </w:p>
  </w:endnote>
  <w:endnote w:type="continuationSeparator" w:id="0">
    <w:p w:rsidR="00583D38" w:rsidRDefault="0058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538C" w:rsidRDefault="00CD4931">
    <w:pPr>
      <w:pStyle w:val="Pamatteksts"/>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6565900</wp:posOffset>
              </wp:positionH>
              <wp:positionV relativeFrom="page">
                <wp:posOffset>9917430</wp:posOffset>
              </wp:positionV>
              <wp:extent cx="1219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38C" w:rsidRDefault="00851036">
                          <w:pPr>
                            <w:pStyle w:val="Pamatteksts"/>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7pt;margin-top:780.9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" filled="f" stroked="f">
              <v:textbox inset="0,0,0,0">
                <w:txbxContent>
                  <w:p w:rsidR="0087538C" w:rsidRDefault="00851036">
                    <w:pPr>
                      <w:pStyle w:val="Pamatteksts"/>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D38" w:rsidRDefault="00583D38">
      <w:r>
        <w:separator/>
      </w:r>
    </w:p>
  </w:footnote>
  <w:footnote w:type="continuationSeparator" w:id="0">
    <w:p w:rsidR="00583D38" w:rsidRDefault="00583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0E70"/>
    <w:multiLevelType w:val="hybridMultilevel"/>
    <w:tmpl w:val="322E6326"/>
    <w:lvl w:ilvl="0" w:tplc="3C446A42">
      <w:start w:val="1"/>
      <w:numFmt w:val="decimal"/>
      <w:lvlText w:val="%1."/>
      <w:lvlJc w:val="left"/>
      <w:pPr>
        <w:ind w:left="156" w:hanging="231"/>
        <w:jc w:val="left"/>
      </w:pPr>
      <w:rPr>
        <w:rFonts w:ascii="Times New Roman" w:eastAsia="Times New Roman" w:hAnsi="Times New Roman" w:cs="Times New Roman" w:hint="default"/>
        <w:w w:val="100"/>
        <w:sz w:val="22"/>
        <w:szCs w:val="22"/>
        <w:lang w:val="en-US" w:eastAsia="en-US" w:bidi="en-US"/>
      </w:rPr>
    </w:lvl>
    <w:lvl w:ilvl="1" w:tplc="C9D22416">
      <w:start w:val="1"/>
      <w:numFmt w:val="lowerLetter"/>
      <w:lvlText w:val="%2."/>
      <w:lvlJc w:val="left"/>
      <w:pPr>
        <w:ind w:left="864" w:hanging="209"/>
        <w:jc w:val="left"/>
      </w:pPr>
      <w:rPr>
        <w:rFonts w:ascii="Times New Roman" w:eastAsia="Times New Roman" w:hAnsi="Times New Roman" w:cs="Times New Roman" w:hint="default"/>
        <w:w w:val="100"/>
        <w:sz w:val="22"/>
        <w:szCs w:val="22"/>
        <w:lang w:val="en-US" w:eastAsia="en-US" w:bidi="en-US"/>
      </w:rPr>
    </w:lvl>
    <w:lvl w:ilvl="2" w:tplc="E2D0D43A">
      <w:numFmt w:val="bullet"/>
      <w:lvlText w:val="•"/>
      <w:lvlJc w:val="left"/>
      <w:pPr>
        <w:ind w:left="1802" w:hanging="209"/>
      </w:pPr>
      <w:rPr>
        <w:rFonts w:hint="default"/>
        <w:lang w:val="en-US" w:eastAsia="en-US" w:bidi="en-US"/>
      </w:rPr>
    </w:lvl>
    <w:lvl w:ilvl="3" w:tplc="6F3CE782">
      <w:numFmt w:val="bullet"/>
      <w:lvlText w:val="•"/>
      <w:lvlJc w:val="left"/>
      <w:pPr>
        <w:ind w:left="2745" w:hanging="209"/>
      </w:pPr>
      <w:rPr>
        <w:rFonts w:hint="default"/>
        <w:lang w:val="en-US" w:eastAsia="en-US" w:bidi="en-US"/>
      </w:rPr>
    </w:lvl>
    <w:lvl w:ilvl="4" w:tplc="F9829824">
      <w:numFmt w:val="bullet"/>
      <w:lvlText w:val="•"/>
      <w:lvlJc w:val="left"/>
      <w:pPr>
        <w:ind w:left="3688" w:hanging="209"/>
      </w:pPr>
      <w:rPr>
        <w:rFonts w:hint="default"/>
        <w:lang w:val="en-US" w:eastAsia="en-US" w:bidi="en-US"/>
      </w:rPr>
    </w:lvl>
    <w:lvl w:ilvl="5" w:tplc="14E844E4">
      <w:numFmt w:val="bullet"/>
      <w:lvlText w:val="•"/>
      <w:lvlJc w:val="left"/>
      <w:pPr>
        <w:ind w:left="4631" w:hanging="209"/>
      </w:pPr>
      <w:rPr>
        <w:rFonts w:hint="default"/>
        <w:lang w:val="en-US" w:eastAsia="en-US" w:bidi="en-US"/>
      </w:rPr>
    </w:lvl>
    <w:lvl w:ilvl="6" w:tplc="34FC04FA">
      <w:numFmt w:val="bullet"/>
      <w:lvlText w:val="•"/>
      <w:lvlJc w:val="left"/>
      <w:pPr>
        <w:ind w:left="5574" w:hanging="209"/>
      </w:pPr>
      <w:rPr>
        <w:rFonts w:hint="default"/>
        <w:lang w:val="en-US" w:eastAsia="en-US" w:bidi="en-US"/>
      </w:rPr>
    </w:lvl>
    <w:lvl w:ilvl="7" w:tplc="44ECA912">
      <w:numFmt w:val="bullet"/>
      <w:lvlText w:val="•"/>
      <w:lvlJc w:val="left"/>
      <w:pPr>
        <w:ind w:left="6517" w:hanging="209"/>
      </w:pPr>
      <w:rPr>
        <w:rFonts w:hint="default"/>
        <w:lang w:val="en-US" w:eastAsia="en-US" w:bidi="en-US"/>
      </w:rPr>
    </w:lvl>
    <w:lvl w:ilvl="8" w:tplc="B086B6B6">
      <w:numFmt w:val="bullet"/>
      <w:lvlText w:val="•"/>
      <w:lvlJc w:val="left"/>
      <w:pPr>
        <w:ind w:left="7460" w:hanging="209"/>
      </w:pPr>
      <w:rPr>
        <w:rFonts w:hint="default"/>
        <w:lang w:val="en-US" w:eastAsia="en-US" w:bidi="en-US"/>
      </w:rPr>
    </w:lvl>
  </w:abstractNum>
  <w:abstractNum w:abstractNumId="1" w15:restartNumberingAfterBreak="0">
    <w:nsid w:val="07B13675"/>
    <w:multiLevelType w:val="hybridMultilevel"/>
    <w:tmpl w:val="BF0CE152"/>
    <w:lvl w:ilvl="0" w:tplc="92763C4E">
      <w:start w:val="1"/>
      <w:numFmt w:val="decimal"/>
      <w:lvlText w:val="%1."/>
      <w:lvlJc w:val="left"/>
      <w:pPr>
        <w:ind w:left="156" w:hanging="221"/>
        <w:jc w:val="left"/>
      </w:pPr>
      <w:rPr>
        <w:rFonts w:ascii="Times New Roman" w:eastAsia="Times New Roman" w:hAnsi="Times New Roman" w:cs="Times New Roman" w:hint="default"/>
        <w:w w:val="100"/>
        <w:sz w:val="22"/>
        <w:szCs w:val="22"/>
        <w:lang w:val="en-US" w:eastAsia="en-US" w:bidi="en-US"/>
      </w:rPr>
    </w:lvl>
    <w:lvl w:ilvl="1" w:tplc="F91E9508">
      <w:start w:val="1"/>
      <w:numFmt w:val="lowerLetter"/>
      <w:lvlText w:val="%2)"/>
      <w:lvlJc w:val="left"/>
      <w:pPr>
        <w:ind w:left="1092" w:hanging="228"/>
        <w:jc w:val="left"/>
      </w:pPr>
      <w:rPr>
        <w:rFonts w:ascii="Times New Roman" w:eastAsia="Times New Roman" w:hAnsi="Times New Roman" w:cs="Times New Roman" w:hint="default"/>
        <w:w w:val="100"/>
        <w:sz w:val="22"/>
        <w:szCs w:val="22"/>
        <w:lang w:val="en-US" w:eastAsia="en-US" w:bidi="en-US"/>
      </w:rPr>
    </w:lvl>
    <w:lvl w:ilvl="2" w:tplc="C3948260">
      <w:numFmt w:val="bullet"/>
      <w:lvlText w:val="•"/>
      <w:lvlJc w:val="left"/>
      <w:pPr>
        <w:ind w:left="2016" w:hanging="228"/>
      </w:pPr>
      <w:rPr>
        <w:rFonts w:hint="default"/>
        <w:lang w:val="en-US" w:eastAsia="en-US" w:bidi="en-US"/>
      </w:rPr>
    </w:lvl>
    <w:lvl w:ilvl="3" w:tplc="3DF8D96C">
      <w:numFmt w:val="bullet"/>
      <w:lvlText w:val="•"/>
      <w:lvlJc w:val="left"/>
      <w:pPr>
        <w:ind w:left="2932" w:hanging="228"/>
      </w:pPr>
      <w:rPr>
        <w:rFonts w:hint="default"/>
        <w:lang w:val="en-US" w:eastAsia="en-US" w:bidi="en-US"/>
      </w:rPr>
    </w:lvl>
    <w:lvl w:ilvl="4" w:tplc="9E3CD304">
      <w:numFmt w:val="bullet"/>
      <w:lvlText w:val="•"/>
      <w:lvlJc w:val="left"/>
      <w:pPr>
        <w:ind w:left="3848" w:hanging="228"/>
      </w:pPr>
      <w:rPr>
        <w:rFonts w:hint="default"/>
        <w:lang w:val="en-US" w:eastAsia="en-US" w:bidi="en-US"/>
      </w:rPr>
    </w:lvl>
    <w:lvl w:ilvl="5" w:tplc="FECEAB2E">
      <w:numFmt w:val="bullet"/>
      <w:lvlText w:val="•"/>
      <w:lvlJc w:val="left"/>
      <w:pPr>
        <w:ind w:left="4765" w:hanging="228"/>
      </w:pPr>
      <w:rPr>
        <w:rFonts w:hint="default"/>
        <w:lang w:val="en-US" w:eastAsia="en-US" w:bidi="en-US"/>
      </w:rPr>
    </w:lvl>
    <w:lvl w:ilvl="6" w:tplc="9F6A0BEA">
      <w:numFmt w:val="bullet"/>
      <w:lvlText w:val="•"/>
      <w:lvlJc w:val="left"/>
      <w:pPr>
        <w:ind w:left="5681" w:hanging="228"/>
      </w:pPr>
      <w:rPr>
        <w:rFonts w:hint="default"/>
        <w:lang w:val="en-US" w:eastAsia="en-US" w:bidi="en-US"/>
      </w:rPr>
    </w:lvl>
    <w:lvl w:ilvl="7" w:tplc="692C4902">
      <w:numFmt w:val="bullet"/>
      <w:lvlText w:val="•"/>
      <w:lvlJc w:val="left"/>
      <w:pPr>
        <w:ind w:left="6597" w:hanging="228"/>
      </w:pPr>
      <w:rPr>
        <w:rFonts w:hint="default"/>
        <w:lang w:val="en-US" w:eastAsia="en-US" w:bidi="en-US"/>
      </w:rPr>
    </w:lvl>
    <w:lvl w:ilvl="8" w:tplc="3AB0E908">
      <w:numFmt w:val="bullet"/>
      <w:lvlText w:val="•"/>
      <w:lvlJc w:val="left"/>
      <w:pPr>
        <w:ind w:left="7513" w:hanging="228"/>
      </w:pPr>
      <w:rPr>
        <w:rFonts w:hint="default"/>
        <w:lang w:val="en-US" w:eastAsia="en-US" w:bidi="en-US"/>
      </w:rPr>
    </w:lvl>
  </w:abstractNum>
  <w:abstractNum w:abstractNumId="2" w15:restartNumberingAfterBreak="0">
    <w:nsid w:val="095953D1"/>
    <w:multiLevelType w:val="hybridMultilevel"/>
    <w:tmpl w:val="8D6E345A"/>
    <w:lvl w:ilvl="0" w:tplc="C794318A">
      <w:start w:val="1"/>
      <w:numFmt w:val="decimal"/>
      <w:lvlText w:val="%1."/>
      <w:lvlJc w:val="left"/>
      <w:pPr>
        <w:ind w:left="156" w:hanging="221"/>
        <w:jc w:val="left"/>
      </w:pPr>
      <w:rPr>
        <w:rFonts w:ascii="Times New Roman" w:eastAsia="Times New Roman" w:hAnsi="Times New Roman" w:cs="Times New Roman" w:hint="default"/>
        <w:w w:val="100"/>
        <w:sz w:val="22"/>
        <w:szCs w:val="22"/>
        <w:lang w:val="en-US" w:eastAsia="en-US" w:bidi="en-US"/>
      </w:rPr>
    </w:lvl>
    <w:lvl w:ilvl="1" w:tplc="F8D81FF8">
      <w:numFmt w:val="bullet"/>
      <w:lvlText w:val="•"/>
      <w:lvlJc w:val="left"/>
      <w:pPr>
        <w:ind w:left="1078" w:hanging="221"/>
      </w:pPr>
      <w:rPr>
        <w:rFonts w:hint="default"/>
        <w:lang w:val="en-US" w:eastAsia="en-US" w:bidi="en-US"/>
      </w:rPr>
    </w:lvl>
    <w:lvl w:ilvl="2" w:tplc="D68071C8">
      <w:numFmt w:val="bullet"/>
      <w:lvlText w:val="•"/>
      <w:lvlJc w:val="left"/>
      <w:pPr>
        <w:ind w:left="1997" w:hanging="221"/>
      </w:pPr>
      <w:rPr>
        <w:rFonts w:hint="default"/>
        <w:lang w:val="en-US" w:eastAsia="en-US" w:bidi="en-US"/>
      </w:rPr>
    </w:lvl>
    <w:lvl w:ilvl="3" w:tplc="8632C9E2">
      <w:numFmt w:val="bullet"/>
      <w:lvlText w:val="•"/>
      <w:lvlJc w:val="left"/>
      <w:pPr>
        <w:ind w:left="2915" w:hanging="221"/>
      </w:pPr>
      <w:rPr>
        <w:rFonts w:hint="default"/>
        <w:lang w:val="en-US" w:eastAsia="en-US" w:bidi="en-US"/>
      </w:rPr>
    </w:lvl>
    <w:lvl w:ilvl="4" w:tplc="8C287284">
      <w:numFmt w:val="bullet"/>
      <w:lvlText w:val="•"/>
      <w:lvlJc w:val="left"/>
      <w:pPr>
        <w:ind w:left="3834" w:hanging="221"/>
      </w:pPr>
      <w:rPr>
        <w:rFonts w:hint="default"/>
        <w:lang w:val="en-US" w:eastAsia="en-US" w:bidi="en-US"/>
      </w:rPr>
    </w:lvl>
    <w:lvl w:ilvl="5" w:tplc="D0D4E23A">
      <w:numFmt w:val="bullet"/>
      <w:lvlText w:val="•"/>
      <w:lvlJc w:val="left"/>
      <w:pPr>
        <w:ind w:left="4753" w:hanging="221"/>
      </w:pPr>
      <w:rPr>
        <w:rFonts w:hint="default"/>
        <w:lang w:val="en-US" w:eastAsia="en-US" w:bidi="en-US"/>
      </w:rPr>
    </w:lvl>
    <w:lvl w:ilvl="6" w:tplc="6734BFFA">
      <w:numFmt w:val="bullet"/>
      <w:lvlText w:val="•"/>
      <w:lvlJc w:val="left"/>
      <w:pPr>
        <w:ind w:left="5671" w:hanging="221"/>
      </w:pPr>
      <w:rPr>
        <w:rFonts w:hint="default"/>
        <w:lang w:val="en-US" w:eastAsia="en-US" w:bidi="en-US"/>
      </w:rPr>
    </w:lvl>
    <w:lvl w:ilvl="7" w:tplc="5AB8B2FC">
      <w:numFmt w:val="bullet"/>
      <w:lvlText w:val="•"/>
      <w:lvlJc w:val="left"/>
      <w:pPr>
        <w:ind w:left="6590" w:hanging="221"/>
      </w:pPr>
      <w:rPr>
        <w:rFonts w:hint="default"/>
        <w:lang w:val="en-US" w:eastAsia="en-US" w:bidi="en-US"/>
      </w:rPr>
    </w:lvl>
    <w:lvl w:ilvl="8" w:tplc="1A685ACC">
      <w:numFmt w:val="bullet"/>
      <w:lvlText w:val="•"/>
      <w:lvlJc w:val="left"/>
      <w:pPr>
        <w:ind w:left="7509" w:hanging="221"/>
      </w:pPr>
      <w:rPr>
        <w:rFonts w:hint="default"/>
        <w:lang w:val="en-US" w:eastAsia="en-US" w:bidi="en-US"/>
      </w:rPr>
    </w:lvl>
  </w:abstractNum>
  <w:abstractNum w:abstractNumId="3" w15:restartNumberingAfterBreak="0">
    <w:nsid w:val="0C2E71E4"/>
    <w:multiLevelType w:val="hybridMultilevel"/>
    <w:tmpl w:val="32D20C42"/>
    <w:lvl w:ilvl="0" w:tplc="9C72605E">
      <w:start w:val="1"/>
      <w:numFmt w:val="decimal"/>
      <w:lvlText w:val="%1."/>
      <w:lvlJc w:val="left"/>
      <w:pPr>
        <w:ind w:left="156" w:hanging="235"/>
        <w:jc w:val="left"/>
      </w:pPr>
      <w:rPr>
        <w:rFonts w:ascii="Times New Roman" w:eastAsia="Times New Roman" w:hAnsi="Times New Roman" w:cs="Times New Roman" w:hint="default"/>
        <w:w w:val="100"/>
        <w:sz w:val="22"/>
        <w:szCs w:val="22"/>
        <w:lang w:val="en-US" w:eastAsia="en-US" w:bidi="en-US"/>
      </w:rPr>
    </w:lvl>
    <w:lvl w:ilvl="1" w:tplc="7A347B5A">
      <w:start w:val="1"/>
      <w:numFmt w:val="lowerLetter"/>
      <w:lvlText w:val="%2)"/>
      <w:lvlJc w:val="left"/>
      <w:pPr>
        <w:ind w:left="1089" w:hanging="226"/>
        <w:jc w:val="left"/>
      </w:pPr>
      <w:rPr>
        <w:rFonts w:ascii="Times New Roman" w:eastAsia="Times New Roman" w:hAnsi="Times New Roman" w:cs="Times New Roman" w:hint="default"/>
        <w:w w:val="100"/>
        <w:sz w:val="22"/>
        <w:szCs w:val="22"/>
        <w:lang w:val="en-US" w:eastAsia="en-US" w:bidi="en-US"/>
      </w:rPr>
    </w:lvl>
    <w:lvl w:ilvl="2" w:tplc="8FB80F68">
      <w:numFmt w:val="bullet"/>
      <w:lvlText w:val="•"/>
      <w:lvlJc w:val="left"/>
      <w:pPr>
        <w:ind w:left="1998" w:hanging="226"/>
      </w:pPr>
      <w:rPr>
        <w:rFonts w:hint="default"/>
        <w:lang w:val="en-US" w:eastAsia="en-US" w:bidi="en-US"/>
      </w:rPr>
    </w:lvl>
    <w:lvl w:ilvl="3" w:tplc="8884AAFA">
      <w:numFmt w:val="bullet"/>
      <w:lvlText w:val="•"/>
      <w:lvlJc w:val="left"/>
      <w:pPr>
        <w:ind w:left="2916" w:hanging="226"/>
      </w:pPr>
      <w:rPr>
        <w:rFonts w:hint="default"/>
        <w:lang w:val="en-US" w:eastAsia="en-US" w:bidi="en-US"/>
      </w:rPr>
    </w:lvl>
    <w:lvl w:ilvl="4" w:tplc="B6623F20">
      <w:numFmt w:val="bullet"/>
      <w:lvlText w:val="•"/>
      <w:lvlJc w:val="left"/>
      <w:pPr>
        <w:ind w:left="3835" w:hanging="226"/>
      </w:pPr>
      <w:rPr>
        <w:rFonts w:hint="default"/>
        <w:lang w:val="en-US" w:eastAsia="en-US" w:bidi="en-US"/>
      </w:rPr>
    </w:lvl>
    <w:lvl w:ilvl="5" w:tplc="1C1CC9B4">
      <w:numFmt w:val="bullet"/>
      <w:lvlText w:val="•"/>
      <w:lvlJc w:val="left"/>
      <w:pPr>
        <w:ind w:left="4753" w:hanging="226"/>
      </w:pPr>
      <w:rPr>
        <w:rFonts w:hint="default"/>
        <w:lang w:val="en-US" w:eastAsia="en-US" w:bidi="en-US"/>
      </w:rPr>
    </w:lvl>
    <w:lvl w:ilvl="6" w:tplc="B74A41D8">
      <w:numFmt w:val="bullet"/>
      <w:lvlText w:val="•"/>
      <w:lvlJc w:val="left"/>
      <w:pPr>
        <w:ind w:left="5672" w:hanging="226"/>
      </w:pPr>
      <w:rPr>
        <w:rFonts w:hint="default"/>
        <w:lang w:val="en-US" w:eastAsia="en-US" w:bidi="en-US"/>
      </w:rPr>
    </w:lvl>
    <w:lvl w:ilvl="7" w:tplc="754EA20E">
      <w:numFmt w:val="bullet"/>
      <w:lvlText w:val="•"/>
      <w:lvlJc w:val="left"/>
      <w:pPr>
        <w:ind w:left="6590" w:hanging="226"/>
      </w:pPr>
      <w:rPr>
        <w:rFonts w:hint="default"/>
        <w:lang w:val="en-US" w:eastAsia="en-US" w:bidi="en-US"/>
      </w:rPr>
    </w:lvl>
    <w:lvl w:ilvl="8" w:tplc="8C22638A">
      <w:numFmt w:val="bullet"/>
      <w:lvlText w:val="•"/>
      <w:lvlJc w:val="left"/>
      <w:pPr>
        <w:ind w:left="7509" w:hanging="226"/>
      </w:pPr>
      <w:rPr>
        <w:rFonts w:hint="default"/>
        <w:lang w:val="en-US" w:eastAsia="en-US" w:bidi="en-US"/>
      </w:rPr>
    </w:lvl>
  </w:abstractNum>
  <w:abstractNum w:abstractNumId="4" w15:restartNumberingAfterBreak="0">
    <w:nsid w:val="27A05A3E"/>
    <w:multiLevelType w:val="hybridMultilevel"/>
    <w:tmpl w:val="8C04D832"/>
    <w:lvl w:ilvl="0" w:tplc="9BACA360">
      <w:start w:val="1"/>
      <w:numFmt w:val="decimal"/>
      <w:lvlText w:val="%1."/>
      <w:lvlJc w:val="left"/>
      <w:pPr>
        <w:ind w:left="156" w:hanging="257"/>
        <w:jc w:val="left"/>
      </w:pPr>
      <w:rPr>
        <w:rFonts w:ascii="Times New Roman" w:eastAsia="Times New Roman" w:hAnsi="Times New Roman" w:cs="Times New Roman" w:hint="default"/>
        <w:w w:val="100"/>
        <w:sz w:val="22"/>
        <w:szCs w:val="22"/>
        <w:lang w:val="en-US" w:eastAsia="en-US" w:bidi="en-US"/>
      </w:rPr>
    </w:lvl>
    <w:lvl w:ilvl="1" w:tplc="3ED4D640">
      <w:numFmt w:val="bullet"/>
      <w:lvlText w:val="•"/>
      <w:lvlJc w:val="left"/>
      <w:pPr>
        <w:ind w:left="1078" w:hanging="257"/>
      </w:pPr>
      <w:rPr>
        <w:rFonts w:hint="default"/>
        <w:lang w:val="en-US" w:eastAsia="en-US" w:bidi="en-US"/>
      </w:rPr>
    </w:lvl>
    <w:lvl w:ilvl="2" w:tplc="E580EEE2">
      <w:numFmt w:val="bullet"/>
      <w:lvlText w:val="•"/>
      <w:lvlJc w:val="left"/>
      <w:pPr>
        <w:ind w:left="1997" w:hanging="257"/>
      </w:pPr>
      <w:rPr>
        <w:rFonts w:hint="default"/>
        <w:lang w:val="en-US" w:eastAsia="en-US" w:bidi="en-US"/>
      </w:rPr>
    </w:lvl>
    <w:lvl w:ilvl="3" w:tplc="0E1CA26E">
      <w:numFmt w:val="bullet"/>
      <w:lvlText w:val="•"/>
      <w:lvlJc w:val="left"/>
      <w:pPr>
        <w:ind w:left="2915" w:hanging="257"/>
      </w:pPr>
      <w:rPr>
        <w:rFonts w:hint="default"/>
        <w:lang w:val="en-US" w:eastAsia="en-US" w:bidi="en-US"/>
      </w:rPr>
    </w:lvl>
    <w:lvl w:ilvl="4" w:tplc="E00CC782">
      <w:numFmt w:val="bullet"/>
      <w:lvlText w:val="•"/>
      <w:lvlJc w:val="left"/>
      <w:pPr>
        <w:ind w:left="3834" w:hanging="257"/>
      </w:pPr>
      <w:rPr>
        <w:rFonts w:hint="default"/>
        <w:lang w:val="en-US" w:eastAsia="en-US" w:bidi="en-US"/>
      </w:rPr>
    </w:lvl>
    <w:lvl w:ilvl="5" w:tplc="4A32E9BA">
      <w:numFmt w:val="bullet"/>
      <w:lvlText w:val="•"/>
      <w:lvlJc w:val="left"/>
      <w:pPr>
        <w:ind w:left="4753" w:hanging="257"/>
      </w:pPr>
      <w:rPr>
        <w:rFonts w:hint="default"/>
        <w:lang w:val="en-US" w:eastAsia="en-US" w:bidi="en-US"/>
      </w:rPr>
    </w:lvl>
    <w:lvl w:ilvl="6" w:tplc="2CFAD79A">
      <w:numFmt w:val="bullet"/>
      <w:lvlText w:val="•"/>
      <w:lvlJc w:val="left"/>
      <w:pPr>
        <w:ind w:left="5671" w:hanging="257"/>
      </w:pPr>
      <w:rPr>
        <w:rFonts w:hint="default"/>
        <w:lang w:val="en-US" w:eastAsia="en-US" w:bidi="en-US"/>
      </w:rPr>
    </w:lvl>
    <w:lvl w:ilvl="7" w:tplc="B3B81E46">
      <w:numFmt w:val="bullet"/>
      <w:lvlText w:val="•"/>
      <w:lvlJc w:val="left"/>
      <w:pPr>
        <w:ind w:left="6590" w:hanging="257"/>
      </w:pPr>
      <w:rPr>
        <w:rFonts w:hint="default"/>
        <w:lang w:val="en-US" w:eastAsia="en-US" w:bidi="en-US"/>
      </w:rPr>
    </w:lvl>
    <w:lvl w:ilvl="8" w:tplc="CF80E9A8">
      <w:numFmt w:val="bullet"/>
      <w:lvlText w:val="•"/>
      <w:lvlJc w:val="left"/>
      <w:pPr>
        <w:ind w:left="7509" w:hanging="257"/>
      </w:pPr>
      <w:rPr>
        <w:rFonts w:hint="default"/>
        <w:lang w:val="en-US" w:eastAsia="en-US" w:bidi="en-US"/>
      </w:rPr>
    </w:lvl>
  </w:abstractNum>
  <w:abstractNum w:abstractNumId="5" w15:restartNumberingAfterBreak="0">
    <w:nsid w:val="2A571094"/>
    <w:multiLevelType w:val="hybridMultilevel"/>
    <w:tmpl w:val="87D09646"/>
    <w:lvl w:ilvl="0" w:tplc="85B86BDE">
      <w:start w:val="1"/>
      <w:numFmt w:val="decimal"/>
      <w:lvlText w:val="%1."/>
      <w:lvlJc w:val="left"/>
      <w:pPr>
        <w:ind w:left="365" w:hanging="209"/>
        <w:jc w:val="left"/>
      </w:pPr>
      <w:rPr>
        <w:rFonts w:ascii="Times New Roman" w:eastAsia="Times New Roman" w:hAnsi="Times New Roman" w:cs="Times New Roman" w:hint="default"/>
        <w:w w:val="100"/>
        <w:sz w:val="22"/>
        <w:szCs w:val="22"/>
        <w:lang w:val="en-US" w:eastAsia="en-US" w:bidi="en-US"/>
      </w:rPr>
    </w:lvl>
    <w:lvl w:ilvl="1" w:tplc="ABCAD284">
      <w:numFmt w:val="bullet"/>
      <w:lvlText w:val="•"/>
      <w:lvlJc w:val="left"/>
      <w:pPr>
        <w:ind w:left="1258" w:hanging="209"/>
      </w:pPr>
      <w:rPr>
        <w:rFonts w:hint="default"/>
        <w:lang w:val="en-US" w:eastAsia="en-US" w:bidi="en-US"/>
      </w:rPr>
    </w:lvl>
    <w:lvl w:ilvl="2" w:tplc="98A471CE">
      <w:numFmt w:val="bullet"/>
      <w:lvlText w:val="•"/>
      <w:lvlJc w:val="left"/>
      <w:pPr>
        <w:ind w:left="2157" w:hanging="209"/>
      </w:pPr>
      <w:rPr>
        <w:rFonts w:hint="default"/>
        <w:lang w:val="en-US" w:eastAsia="en-US" w:bidi="en-US"/>
      </w:rPr>
    </w:lvl>
    <w:lvl w:ilvl="3" w:tplc="4DF62A36">
      <w:numFmt w:val="bullet"/>
      <w:lvlText w:val="•"/>
      <w:lvlJc w:val="left"/>
      <w:pPr>
        <w:ind w:left="3055" w:hanging="209"/>
      </w:pPr>
      <w:rPr>
        <w:rFonts w:hint="default"/>
        <w:lang w:val="en-US" w:eastAsia="en-US" w:bidi="en-US"/>
      </w:rPr>
    </w:lvl>
    <w:lvl w:ilvl="4" w:tplc="CFC8C610">
      <w:numFmt w:val="bullet"/>
      <w:lvlText w:val="•"/>
      <w:lvlJc w:val="left"/>
      <w:pPr>
        <w:ind w:left="3954" w:hanging="209"/>
      </w:pPr>
      <w:rPr>
        <w:rFonts w:hint="default"/>
        <w:lang w:val="en-US" w:eastAsia="en-US" w:bidi="en-US"/>
      </w:rPr>
    </w:lvl>
    <w:lvl w:ilvl="5" w:tplc="C8CE018A">
      <w:numFmt w:val="bullet"/>
      <w:lvlText w:val="•"/>
      <w:lvlJc w:val="left"/>
      <w:pPr>
        <w:ind w:left="4853" w:hanging="209"/>
      </w:pPr>
      <w:rPr>
        <w:rFonts w:hint="default"/>
        <w:lang w:val="en-US" w:eastAsia="en-US" w:bidi="en-US"/>
      </w:rPr>
    </w:lvl>
    <w:lvl w:ilvl="6" w:tplc="4F388D60">
      <w:numFmt w:val="bullet"/>
      <w:lvlText w:val="•"/>
      <w:lvlJc w:val="left"/>
      <w:pPr>
        <w:ind w:left="5751" w:hanging="209"/>
      </w:pPr>
      <w:rPr>
        <w:rFonts w:hint="default"/>
        <w:lang w:val="en-US" w:eastAsia="en-US" w:bidi="en-US"/>
      </w:rPr>
    </w:lvl>
    <w:lvl w:ilvl="7" w:tplc="0CE64428">
      <w:numFmt w:val="bullet"/>
      <w:lvlText w:val="•"/>
      <w:lvlJc w:val="left"/>
      <w:pPr>
        <w:ind w:left="6650" w:hanging="209"/>
      </w:pPr>
      <w:rPr>
        <w:rFonts w:hint="default"/>
        <w:lang w:val="en-US" w:eastAsia="en-US" w:bidi="en-US"/>
      </w:rPr>
    </w:lvl>
    <w:lvl w:ilvl="8" w:tplc="3774F032">
      <w:numFmt w:val="bullet"/>
      <w:lvlText w:val="•"/>
      <w:lvlJc w:val="left"/>
      <w:pPr>
        <w:ind w:left="7549" w:hanging="209"/>
      </w:pPr>
      <w:rPr>
        <w:rFonts w:hint="default"/>
        <w:lang w:val="en-US" w:eastAsia="en-US" w:bidi="en-US"/>
      </w:rPr>
    </w:lvl>
  </w:abstractNum>
  <w:abstractNum w:abstractNumId="6" w15:restartNumberingAfterBreak="0">
    <w:nsid w:val="33882FB1"/>
    <w:multiLevelType w:val="hybridMultilevel"/>
    <w:tmpl w:val="8FC84CEE"/>
    <w:lvl w:ilvl="0" w:tplc="BCDA7F1C">
      <w:start w:val="1"/>
      <w:numFmt w:val="decimal"/>
      <w:lvlText w:val="(%1)"/>
      <w:lvlJc w:val="left"/>
      <w:pPr>
        <w:ind w:left="156" w:hanging="372"/>
        <w:jc w:val="left"/>
      </w:pPr>
      <w:rPr>
        <w:rFonts w:ascii="Times New Roman" w:eastAsia="Times New Roman" w:hAnsi="Times New Roman" w:cs="Times New Roman" w:hint="default"/>
        <w:w w:val="100"/>
        <w:sz w:val="22"/>
        <w:szCs w:val="22"/>
        <w:lang w:val="en-US" w:eastAsia="en-US" w:bidi="en-US"/>
      </w:rPr>
    </w:lvl>
    <w:lvl w:ilvl="1" w:tplc="D2C422F0">
      <w:numFmt w:val="bullet"/>
      <w:lvlText w:val="•"/>
      <w:lvlJc w:val="left"/>
      <w:pPr>
        <w:ind w:left="1078" w:hanging="372"/>
      </w:pPr>
      <w:rPr>
        <w:rFonts w:hint="default"/>
        <w:lang w:val="en-US" w:eastAsia="en-US" w:bidi="en-US"/>
      </w:rPr>
    </w:lvl>
    <w:lvl w:ilvl="2" w:tplc="B7DE3550">
      <w:numFmt w:val="bullet"/>
      <w:lvlText w:val="•"/>
      <w:lvlJc w:val="left"/>
      <w:pPr>
        <w:ind w:left="1997" w:hanging="372"/>
      </w:pPr>
      <w:rPr>
        <w:rFonts w:hint="default"/>
        <w:lang w:val="en-US" w:eastAsia="en-US" w:bidi="en-US"/>
      </w:rPr>
    </w:lvl>
    <w:lvl w:ilvl="3" w:tplc="B2FE6390">
      <w:numFmt w:val="bullet"/>
      <w:lvlText w:val="•"/>
      <w:lvlJc w:val="left"/>
      <w:pPr>
        <w:ind w:left="2915" w:hanging="372"/>
      </w:pPr>
      <w:rPr>
        <w:rFonts w:hint="default"/>
        <w:lang w:val="en-US" w:eastAsia="en-US" w:bidi="en-US"/>
      </w:rPr>
    </w:lvl>
    <w:lvl w:ilvl="4" w:tplc="1CE251DE">
      <w:numFmt w:val="bullet"/>
      <w:lvlText w:val="•"/>
      <w:lvlJc w:val="left"/>
      <w:pPr>
        <w:ind w:left="3834" w:hanging="372"/>
      </w:pPr>
      <w:rPr>
        <w:rFonts w:hint="default"/>
        <w:lang w:val="en-US" w:eastAsia="en-US" w:bidi="en-US"/>
      </w:rPr>
    </w:lvl>
    <w:lvl w:ilvl="5" w:tplc="18A4AAEA">
      <w:numFmt w:val="bullet"/>
      <w:lvlText w:val="•"/>
      <w:lvlJc w:val="left"/>
      <w:pPr>
        <w:ind w:left="4753" w:hanging="372"/>
      </w:pPr>
      <w:rPr>
        <w:rFonts w:hint="default"/>
        <w:lang w:val="en-US" w:eastAsia="en-US" w:bidi="en-US"/>
      </w:rPr>
    </w:lvl>
    <w:lvl w:ilvl="6" w:tplc="7E983000">
      <w:numFmt w:val="bullet"/>
      <w:lvlText w:val="•"/>
      <w:lvlJc w:val="left"/>
      <w:pPr>
        <w:ind w:left="5671" w:hanging="372"/>
      </w:pPr>
      <w:rPr>
        <w:rFonts w:hint="default"/>
        <w:lang w:val="en-US" w:eastAsia="en-US" w:bidi="en-US"/>
      </w:rPr>
    </w:lvl>
    <w:lvl w:ilvl="7" w:tplc="CE680C28">
      <w:numFmt w:val="bullet"/>
      <w:lvlText w:val="•"/>
      <w:lvlJc w:val="left"/>
      <w:pPr>
        <w:ind w:left="6590" w:hanging="372"/>
      </w:pPr>
      <w:rPr>
        <w:rFonts w:hint="default"/>
        <w:lang w:val="en-US" w:eastAsia="en-US" w:bidi="en-US"/>
      </w:rPr>
    </w:lvl>
    <w:lvl w:ilvl="8" w:tplc="B22E0962">
      <w:numFmt w:val="bullet"/>
      <w:lvlText w:val="•"/>
      <w:lvlJc w:val="left"/>
      <w:pPr>
        <w:ind w:left="7509" w:hanging="372"/>
      </w:pPr>
      <w:rPr>
        <w:rFonts w:hint="default"/>
        <w:lang w:val="en-US" w:eastAsia="en-US" w:bidi="en-US"/>
      </w:rPr>
    </w:lvl>
  </w:abstractNum>
  <w:abstractNum w:abstractNumId="7" w15:restartNumberingAfterBreak="0">
    <w:nsid w:val="45E64139"/>
    <w:multiLevelType w:val="hybridMultilevel"/>
    <w:tmpl w:val="CEDEC13A"/>
    <w:lvl w:ilvl="0" w:tplc="6AC8F5CC">
      <w:start w:val="1"/>
      <w:numFmt w:val="decimal"/>
      <w:lvlText w:val="%1."/>
      <w:lvlJc w:val="left"/>
      <w:pPr>
        <w:ind w:left="156" w:hanging="228"/>
        <w:jc w:val="left"/>
      </w:pPr>
      <w:rPr>
        <w:rFonts w:ascii="Times New Roman" w:eastAsia="Times New Roman" w:hAnsi="Times New Roman" w:cs="Times New Roman" w:hint="default"/>
        <w:w w:val="100"/>
        <w:sz w:val="22"/>
        <w:szCs w:val="22"/>
        <w:lang w:val="en-US" w:eastAsia="en-US" w:bidi="en-US"/>
      </w:rPr>
    </w:lvl>
    <w:lvl w:ilvl="1" w:tplc="26363A6A">
      <w:numFmt w:val="bullet"/>
      <w:lvlText w:val="•"/>
      <w:lvlJc w:val="left"/>
      <w:pPr>
        <w:ind w:left="1078" w:hanging="228"/>
      </w:pPr>
      <w:rPr>
        <w:rFonts w:hint="default"/>
        <w:lang w:val="en-US" w:eastAsia="en-US" w:bidi="en-US"/>
      </w:rPr>
    </w:lvl>
    <w:lvl w:ilvl="2" w:tplc="67F46EE6">
      <w:numFmt w:val="bullet"/>
      <w:lvlText w:val="•"/>
      <w:lvlJc w:val="left"/>
      <w:pPr>
        <w:ind w:left="1997" w:hanging="228"/>
      </w:pPr>
      <w:rPr>
        <w:rFonts w:hint="default"/>
        <w:lang w:val="en-US" w:eastAsia="en-US" w:bidi="en-US"/>
      </w:rPr>
    </w:lvl>
    <w:lvl w:ilvl="3" w:tplc="0AFA9796">
      <w:numFmt w:val="bullet"/>
      <w:lvlText w:val="•"/>
      <w:lvlJc w:val="left"/>
      <w:pPr>
        <w:ind w:left="2915" w:hanging="228"/>
      </w:pPr>
      <w:rPr>
        <w:rFonts w:hint="default"/>
        <w:lang w:val="en-US" w:eastAsia="en-US" w:bidi="en-US"/>
      </w:rPr>
    </w:lvl>
    <w:lvl w:ilvl="4" w:tplc="DD4C6C36">
      <w:numFmt w:val="bullet"/>
      <w:lvlText w:val="•"/>
      <w:lvlJc w:val="left"/>
      <w:pPr>
        <w:ind w:left="3834" w:hanging="228"/>
      </w:pPr>
      <w:rPr>
        <w:rFonts w:hint="default"/>
        <w:lang w:val="en-US" w:eastAsia="en-US" w:bidi="en-US"/>
      </w:rPr>
    </w:lvl>
    <w:lvl w:ilvl="5" w:tplc="E4AC3446">
      <w:numFmt w:val="bullet"/>
      <w:lvlText w:val="•"/>
      <w:lvlJc w:val="left"/>
      <w:pPr>
        <w:ind w:left="4753" w:hanging="228"/>
      </w:pPr>
      <w:rPr>
        <w:rFonts w:hint="default"/>
        <w:lang w:val="en-US" w:eastAsia="en-US" w:bidi="en-US"/>
      </w:rPr>
    </w:lvl>
    <w:lvl w:ilvl="6" w:tplc="EA986C2E">
      <w:numFmt w:val="bullet"/>
      <w:lvlText w:val="•"/>
      <w:lvlJc w:val="left"/>
      <w:pPr>
        <w:ind w:left="5671" w:hanging="228"/>
      </w:pPr>
      <w:rPr>
        <w:rFonts w:hint="default"/>
        <w:lang w:val="en-US" w:eastAsia="en-US" w:bidi="en-US"/>
      </w:rPr>
    </w:lvl>
    <w:lvl w:ilvl="7" w:tplc="9A74E624">
      <w:numFmt w:val="bullet"/>
      <w:lvlText w:val="•"/>
      <w:lvlJc w:val="left"/>
      <w:pPr>
        <w:ind w:left="6590" w:hanging="228"/>
      </w:pPr>
      <w:rPr>
        <w:rFonts w:hint="default"/>
        <w:lang w:val="en-US" w:eastAsia="en-US" w:bidi="en-US"/>
      </w:rPr>
    </w:lvl>
    <w:lvl w:ilvl="8" w:tplc="B94057D0">
      <w:numFmt w:val="bullet"/>
      <w:lvlText w:val="•"/>
      <w:lvlJc w:val="left"/>
      <w:pPr>
        <w:ind w:left="7509" w:hanging="228"/>
      </w:pPr>
      <w:rPr>
        <w:rFonts w:hint="default"/>
        <w:lang w:val="en-US" w:eastAsia="en-US" w:bidi="en-US"/>
      </w:rPr>
    </w:lvl>
  </w:abstractNum>
  <w:abstractNum w:abstractNumId="8" w15:restartNumberingAfterBreak="0">
    <w:nsid w:val="48FA517D"/>
    <w:multiLevelType w:val="hybridMultilevel"/>
    <w:tmpl w:val="E0A0018E"/>
    <w:lvl w:ilvl="0" w:tplc="DF4E471E">
      <w:start w:val="1"/>
      <w:numFmt w:val="decimal"/>
      <w:lvlText w:val="%1."/>
      <w:lvlJc w:val="left"/>
      <w:pPr>
        <w:ind w:left="156" w:hanging="223"/>
        <w:jc w:val="left"/>
      </w:pPr>
      <w:rPr>
        <w:rFonts w:ascii="Times New Roman" w:eastAsia="Times New Roman" w:hAnsi="Times New Roman" w:cs="Times New Roman" w:hint="default"/>
        <w:w w:val="100"/>
        <w:sz w:val="22"/>
        <w:szCs w:val="22"/>
        <w:lang w:val="en-US" w:eastAsia="en-US" w:bidi="en-US"/>
      </w:rPr>
    </w:lvl>
    <w:lvl w:ilvl="1" w:tplc="C846E190">
      <w:start w:val="1"/>
      <w:numFmt w:val="lowerLetter"/>
      <w:lvlText w:val="%2."/>
      <w:lvlJc w:val="left"/>
      <w:pPr>
        <w:ind w:left="864" w:hanging="221"/>
        <w:jc w:val="left"/>
      </w:pPr>
      <w:rPr>
        <w:rFonts w:ascii="Times New Roman" w:eastAsia="Times New Roman" w:hAnsi="Times New Roman" w:cs="Times New Roman" w:hint="default"/>
        <w:w w:val="100"/>
        <w:sz w:val="22"/>
        <w:szCs w:val="22"/>
        <w:lang w:val="en-US" w:eastAsia="en-US" w:bidi="en-US"/>
      </w:rPr>
    </w:lvl>
    <w:lvl w:ilvl="2" w:tplc="F3F6D6C4">
      <w:numFmt w:val="bullet"/>
      <w:lvlText w:val="•"/>
      <w:lvlJc w:val="left"/>
      <w:pPr>
        <w:ind w:left="1802" w:hanging="221"/>
      </w:pPr>
      <w:rPr>
        <w:rFonts w:hint="default"/>
        <w:lang w:val="en-US" w:eastAsia="en-US" w:bidi="en-US"/>
      </w:rPr>
    </w:lvl>
    <w:lvl w:ilvl="3" w:tplc="CD20F0A6">
      <w:numFmt w:val="bullet"/>
      <w:lvlText w:val="•"/>
      <w:lvlJc w:val="left"/>
      <w:pPr>
        <w:ind w:left="2745" w:hanging="221"/>
      </w:pPr>
      <w:rPr>
        <w:rFonts w:hint="default"/>
        <w:lang w:val="en-US" w:eastAsia="en-US" w:bidi="en-US"/>
      </w:rPr>
    </w:lvl>
    <w:lvl w:ilvl="4" w:tplc="A77A9CF0">
      <w:numFmt w:val="bullet"/>
      <w:lvlText w:val="•"/>
      <w:lvlJc w:val="left"/>
      <w:pPr>
        <w:ind w:left="3688" w:hanging="221"/>
      </w:pPr>
      <w:rPr>
        <w:rFonts w:hint="default"/>
        <w:lang w:val="en-US" w:eastAsia="en-US" w:bidi="en-US"/>
      </w:rPr>
    </w:lvl>
    <w:lvl w:ilvl="5" w:tplc="447EFC8C">
      <w:numFmt w:val="bullet"/>
      <w:lvlText w:val="•"/>
      <w:lvlJc w:val="left"/>
      <w:pPr>
        <w:ind w:left="4631" w:hanging="221"/>
      </w:pPr>
      <w:rPr>
        <w:rFonts w:hint="default"/>
        <w:lang w:val="en-US" w:eastAsia="en-US" w:bidi="en-US"/>
      </w:rPr>
    </w:lvl>
    <w:lvl w:ilvl="6" w:tplc="0C6024F8">
      <w:numFmt w:val="bullet"/>
      <w:lvlText w:val="•"/>
      <w:lvlJc w:val="left"/>
      <w:pPr>
        <w:ind w:left="5574" w:hanging="221"/>
      </w:pPr>
      <w:rPr>
        <w:rFonts w:hint="default"/>
        <w:lang w:val="en-US" w:eastAsia="en-US" w:bidi="en-US"/>
      </w:rPr>
    </w:lvl>
    <w:lvl w:ilvl="7" w:tplc="80EA16B2">
      <w:numFmt w:val="bullet"/>
      <w:lvlText w:val="•"/>
      <w:lvlJc w:val="left"/>
      <w:pPr>
        <w:ind w:left="6517" w:hanging="221"/>
      </w:pPr>
      <w:rPr>
        <w:rFonts w:hint="default"/>
        <w:lang w:val="en-US" w:eastAsia="en-US" w:bidi="en-US"/>
      </w:rPr>
    </w:lvl>
    <w:lvl w:ilvl="8" w:tplc="2F90FA40">
      <w:numFmt w:val="bullet"/>
      <w:lvlText w:val="•"/>
      <w:lvlJc w:val="left"/>
      <w:pPr>
        <w:ind w:left="7460" w:hanging="221"/>
      </w:pPr>
      <w:rPr>
        <w:rFonts w:hint="default"/>
        <w:lang w:val="en-US" w:eastAsia="en-US" w:bidi="en-US"/>
      </w:rPr>
    </w:lvl>
  </w:abstractNum>
  <w:abstractNum w:abstractNumId="9" w15:restartNumberingAfterBreak="0">
    <w:nsid w:val="59346896"/>
    <w:multiLevelType w:val="hybridMultilevel"/>
    <w:tmpl w:val="FC48F6F4"/>
    <w:lvl w:ilvl="0" w:tplc="B7027CC4">
      <w:start w:val="1"/>
      <w:numFmt w:val="decimal"/>
      <w:lvlText w:val="%1."/>
      <w:lvlJc w:val="left"/>
      <w:pPr>
        <w:ind w:left="156" w:hanging="235"/>
        <w:jc w:val="left"/>
      </w:pPr>
      <w:rPr>
        <w:rFonts w:ascii="Times New Roman" w:eastAsia="Times New Roman" w:hAnsi="Times New Roman" w:cs="Times New Roman" w:hint="default"/>
        <w:w w:val="100"/>
        <w:sz w:val="22"/>
        <w:szCs w:val="22"/>
        <w:lang w:val="en-US" w:eastAsia="en-US" w:bidi="en-US"/>
      </w:rPr>
    </w:lvl>
    <w:lvl w:ilvl="1" w:tplc="0E7E4F38">
      <w:numFmt w:val="bullet"/>
      <w:lvlText w:val="•"/>
      <w:lvlJc w:val="left"/>
      <w:pPr>
        <w:ind w:left="1078" w:hanging="235"/>
      </w:pPr>
      <w:rPr>
        <w:rFonts w:hint="default"/>
        <w:lang w:val="en-US" w:eastAsia="en-US" w:bidi="en-US"/>
      </w:rPr>
    </w:lvl>
    <w:lvl w:ilvl="2" w:tplc="AB961840">
      <w:numFmt w:val="bullet"/>
      <w:lvlText w:val="•"/>
      <w:lvlJc w:val="left"/>
      <w:pPr>
        <w:ind w:left="1997" w:hanging="235"/>
      </w:pPr>
      <w:rPr>
        <w:rFonts w:hint="default"/>
        <w:lang w:val="en-US" w:eastAsia="en-US" w:bidi="en-US"/>
      </w:rPr>
    </w:lvl>
    <w:lvl w:ilvl="3" w:tplc="A0F43258">
      <w:numFmt w:val="bullet"/>
      <w:lvlText w:val="•"/>
      <w:lvlJc w:val="left"/>
      <w:pPr>
        <w:ind w:left="2915" w:hanging="235"/>
      </w:pPr>
      <w:rPr>
        <w:rFonts w:hint="default"/>
        <w:lang w:val="en-US" w:eastAsia="en-US" w:bidi="en-US"/>
      </w:rPr>
    </w:lvl>
    <w:lvl w:ilvl="4" w:tplc="AA96C3E2">
      <w:numFmt w:val="bullet"/>
      <w:lvlText w:val="•"/>
      <w:lvlJc w:val="left"/>
      <w:pPr>
        <w:ind w:left="3834" w:hanging="235"/>
      </w:pPr>
      <w:rPr>
        <w:rFonts w:hint="default"/>
        <w:lang w:val="en-US" w:eastAsia="en-US" w:bidi="en-US"/>
      </w:rPr>
    </w:lvl>
    <w:lvl w:ilvl="5" w:tplc="2ECC99E6">
      <w:numFmt w:val="bullet"/>
      <w:lvlText w:val="•"/>
      <w:lvlJc w:val="left"/>
      <w:pPr>
        <w:ind w:left="4753" w:hanging="235"/>
      </w:pPr>
      <w:rPr>
        <w:rFonts w:hint="default"/>
        <w:lang w:val="en-US" w:eastAsia="en-US" w:bidi="en-US"/>
      </w:rPr>
    </w:lvl>
    <w:lvl w:ilvl="6" w:tplc="B9D47D2E">
      <w:numFmt w:val="bullet"/>
      <w:lvlText w:val="•"/>
      <w:lvlJc w:val="left"/>
      <w:pPr>
        <w:ind w:left="5671" w:hanging="235"/>
      </w:pPr>
      <w:rPr>
        <w:rFonts w:hint="default"/>
        <w:lang w:val="en-US" w:eastAsia="en-US" w:bidi="en-US"/>
      </w:rPr>
    </w:lvl>
    <w:lvl w:ilvl="7" w:tplc="DDB281EA">
      <w:numFmt w:val="bullet"/>
      <w:lvlText w:val="•"/>
      <w:lvlJc w:val="left"/>
      <w:pPr>
        <w:ind w:left="6590" w:hanging="235"/>
      </w:pPr>
      <w:rPr>
        <w:rFonts w:hint="default"/>
        <w:lang w:val="en-US" w:eastAsia="en-US" w:bidi="en-US"/>
      </w:rPr>
    </w:lvl>
    <w:lvl w:ilvl="8" w:tplc="952AF092">
      <w:numFmt w:val="bullet"/>
      <w:lvlText w:val="•"/>
      <w:lvlJc w:val="left"/>
      <w:pPr>
        <w:ind w:left="7509" w:hanging="235"/>
      </w:pPr>
      <w:rPr>
        <w:rFonts w:hint="default"/>
        <w:lang w:val="en-US" w:eastAsia="en-US" w:bidi="en-US"/>
      </w:rPr>
    </w:lvl>
  </w:abstractNum>
  <w:num w:numId="1">
    <w:abstractNumId w:val="4"/>
  </w:num>
  <w:num w:numId="2">
    <w:abstractNumId w:val="7"/>
  </w:num>
  <w:num w:numId="3">
    <w:abstractNumId w:val="3"/>
  </w:num>
  <w:num w:numId="4">
    <w:abstractNumId w:val="2"/>
  </w:num>
  <w:num w:numId="5">
    <w:abstractNumId w:val="9"/>
  </w:num>
  <w:num w:numId="6">
    <w:abstractNumId w:val="8"/>
  </w:num>
  <w:num w:numId="7">
    <w:abstractNumId w:val="0"/>
  </w:num>
  <w:num w:numId="8">
    <w:abstractNumId w:val="1"/>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8C"/>
    <w:rsid w:val="00583D38"/>
    <w:rsid w:val="00851036"/>
    <w:rsid w:val="0087538C"/>
    <w:rsid w:val="00B06E12"/>
    <w:rsid w:val="00CC5F5F"/>
    <w:rsid w:val="00CD4931"/>
    <w:rsid w:val="00D34C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440EEC"/>
  <w15:docId w15:val="{7BB8DE35-C42C-4093-BD2B-7FBA58D1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uiPriority w:val="1"/>
    <w:qFormat/>
    <w:rPr>
      <w:rFonts w:ascii="Times New Roman" w:eastAsia="Times New Roman" w:hAnsi="Times New Roman" w:cs="Times New Roman"/>
      <w:lang w:bidi="en-US"/>
    </w:rPr>
  </w:style>
  <w:style w:type="paragraph" w:styleId="Virsraksts1">
    <w:name w:val="heading 1"/>
    <w:basedOn w:val="Parasts"/>
    <w:uiPriority w:val="1"/>
    <w:qFormat/>
    <w:pPr>
      <w:ind w:left="402" w:right="367"/>
      <w:jc w:val="center"/>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style>
  <w:style w:type="paragraph" w:styleId="Sarakstarindkopa">
    <w:name w:val="List Paragraph"/>
    <w:basedOn w:val="Parasts"/>
    <w:uiPriority w:val="1"/>
    <w:qFormat/>
    <w:pPr>
      <w:ind w:left="156"/>
      <w:jc w:val="both"/>
    </w:pPr>
  </w:style>
  <w:style w:type="paragraph" w:customStyle="1" w:styleId="TableParagraph">
    <w:name w:val="Table Paragraph"/>
    <w:basedOn w:val="Parasts"/>
    <w:uiPriority w:val="1"/>
    <w:qFormat/>
    <w:pPr>
      <w:jc w:val="both"/>
    </w:pPr>
    <w:rPr>
      <w:rFonts w:ascii="Calibri Light" w:eastAsia="Calibri Light" w:hAnsi="Calibri Light" w:cs="Calibri Light"/>
    </w:rPr>
  </w:style>
  <w:style w:type="paragraph" w:styleId="Balonteksts">
    <w:name w:val="Balloon Text"/>
    <w:basedOn w:val="Parasts"/>
    <w:link w:val="BalontekstsRakstz"/>
    <w:uiPriority w:val="99"/>
    <w:semiHidden/>
    <w:unhideWhenUsed/>
    <w:rsid w:val="00CD493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D4931"/>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10371</Words>
  <Characters>5912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AST</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Maria Lehtmets</dc:creator>
  <cp:lastModifiedBy>Laura Skvarnoviča</cp:lastModifiedBy>
  <cp:revision>4</cp:revision>
  <dcterms:created xsi:type="dcterms:W3CDTF">2020-01-10T13:04:00Z</dcterms:created>
  <dcterms:modified xsi:type="dcterms:W3CDTF">2020-01-13T09:26:00Z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Microsoft® Word 2016</vt:lpwstr>
  </property>
  <property fmtid="{D5CDD505-2E9C-101B-9397-08002B2CF9AE}" pid="4" name="LastSaved">
    <vt:filetime>2020-01-10T00:00:00Z</vt:filetime>
  </property>
</Properties>
</file>