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B1F" w:rsidRPr="00E54DD1" w:rsidRDefault="00A13B1F" w:rsidP="00E21D6B">
      <w:pPr>
        <w:rPr>
          <w:rFonts w:eastAsia="Calibri"/>
          <w:lang w:eastAsia="en-US"/>
        </w:rPr>
      </w:pPr>
      <w:bookmarkStart w:id="0" w:name="_Hlk497918232"/>
      <w:bookmarkStart w:id="1" w:name="_GoBack"/>
      <w:bookmarkEnd w:id="1"/>
      <w:r w:rsidRPr="00E54DD1">
        <w:rPr>
          <w:rFonts w:eastAsia="Calibri"/>
          <w:lang w:eastAsia="en-US"/>
        </w:rPr>
        <w:t>1.pielikums</w:t>
      </w:r>
      <w:r w:rsidRPr="00E54DD1">
        <w:rPr>
          <w:rFonts w:eastAsia="Calibri"/>
          <w:lang w:eastAsia="en-US"/>
        </w:rPr>
        <w:br/>
        <w:t>Sabiedrisko pakalpojumu regulēšanas komisijas</w:t>
      </w:r>
      <w:r w:rsidRPr="00E54DD1">
        <w:rPr>
          <w:rFonts w:eastAsia="Calibri"/>
          <w:lang w:eastAsia="en-US"/>
        </w:rPr>
        <w:br/>
        <w:t>2017.gada 21.decembra lēmumam Nr.1/42</w:t>
      </w:r>
      <w:bookmarkStart w:id="2" w:name="_Hlk497918199"/>
      <w:bookmarkEnd w:id="0"/>
    </w:p>
    <w:p w:rsidR="00A13B1F" w:rsidRPr="00C17C45" w:rsidRDefault="00A13B1F" w:rsidP="00A13B1F">
      <w:pPr>
        <w:spacing w:before="360"/>
        <w:ind w:left="567" w:right="567"/>
        <w:jc w:val="center"/>
        <w:rPr>
          <w:rFonts w:ascii="Cambria" w:eastAsia="Calibri" w:hAnsi="Cambria"/>
          <w:b/>
          <w:sz w:val="22"/>
          <w:szCs w:val="19"/>
          <w:lang w:eastAsia="en-US"/>
        </w:rPr>
      </w:pPr>
      <w:r w:rsidRPr="00C17C45">
        <w:rPr>
          <w:rFonts w:ascii="Cambria" w:eastAsia="Calibri" w:hAnsi="Cambria"/>
          <w:b/>
          <w:sz w:val="22"/>
          <w:szCs w:val="19"/>
          <w:lang w:eastAsia="en-US"/>
        </w:rPr>
        <w:t xml:space="preserve">Sabiedrisko pakalpojumu sniedzēja </w:t>
      </w:r>
      <w:r w:rsidRPr="00C17C45">
        <w:rPr>
          <w:rFonts w:ascii="Cambria" w:eastAsia="Calibri" w:hAnsi="Cambria"/>
          <w:b/>
          <w:sz w:val="22"/>
          <w:szCs w:val="19"/>
          <w:lang w:eastAsia="en-US"/>
        </w:rPr>
        <w:br/>
        <w:t xml:space="preserve">valsts nodevas par sabiedrisko pakalpojumu regulēšanu </w:t>
      </w:r>
      <w:r w:rsidRPr="00C17C45">
        <w:rPr>
          <w:rFonts w:ascii="Cambria" w:eastAsia="Calibri" w:hAnsi="Cambria"/>
          <w:b/>
          <w:sz w:val="22"/>
          <w:szCs w:val="19"/>
          <w:lang w:eastAsia="en-US"/>
        </w:rPr>
        <w:br/>
      </w:r>
      <w:r>
        <w:rPr>
          <w:rFonts w:ascii="Cambria" w:eastAsia="Calibri" w:hAnsi="Cambria"/>
          <w:b/>
          <w:sz w:val="22"/>
          <w:szCs w:val="19"/>
          <w:lang w:eastAsia="en-US"/>
        </w:rPr>
        <w:t>aprēķins _________.gadam</w:t>
      </w:r>
    </w:p>
    <w:p w:rsidR="00A13B1F" w:rsidRPr="00E54DD1" w:rsidRDefault="00A13B1F" w:rsidP="00A13B1F">
      <w:pPr>
        <w:spacing w:before="130" w:line="260" w:lineRule="exact"/>
        <w:jc w:val="center"/>
        <w:rPr>
          <w:rFonts w:ascii="Cambria" w:eastAsia="Calibri" w:hAnsi="Cambria"/>
          <w:b/>
          <w:sz w:val="19"/>
          <w:szCs w:val="19"/>
          <w:lang w:eastAsia="en-US"/>
        </w:rPr>
      </w:pPr>
      <w:bookmarkStart w:id="3" w:name="_Hlk497918421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3"/>
        <w:gridCol w:w="5353"/>
      </w:tblGrid>
      <w:tr w:rsidR="00A13B1F" w:rsidRPr="00C17C45" w:rsidTr="00FE28C0">
        <w:tc>
          <w:tcPr>
            <w:tcW w:w="3256" w:type="dxa"/>
            <w:shd w:val="pct10" w:color="auto" w:fill="auto"/>
            <w:vAlign w:val="center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Sabiedrisko pakalpojumu sniedzēja nosaukums</w:t>
            </w:r>
          </w:p>
        </w:tc>
        <w:tc>
          <w:tcPr>
            <w:tcW w:w="6243" w:type="dxa"/>
            <w:shd w:val="clear" w:color="auto" w:fill="auto"/>
            <w:vAlign w:val="center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3256" w:type="dxa"/>
            <w:shd w:val="pct10" w:color="auto" w:fill="auto"/>
            <w:vAlign w:val="center"/>
          </w:tcPr>
          <w:p w:rsidR="00A13B1F" w:rsidRPr="00C17C45" w:rsidRDefault="00A13B1F" w:rsidP="00FE28C0">
            <w:pPr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Vienotais reģistrācijas numurs</w:t>
            </w:r>
          </w:p>
        </w:tc>
        <w:tc>
          <w:tcPr>
            <w:tcW w:w="6243" w:type="dxa"/>
            <w:shd w:val="clear" w:color="auto" w:fill="auto"/>
            <w:vAlign w:val="center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3256" w:type="dxa"/>
            <w:shd w:val="pct10" w:color="auto" w:fill="auto"/>
            <w:vAlign w:val="center"/>
          </w:tcPr>
          <w:p w:rsidR="00A13B1F" w:rsidRPr="00C17C45" w:rsidRDefault="00A13B1F" w:rsidP="00FE28C0">
            <w:pPr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Ierobežotas pieejamības informācija (atbilstoši atzīmēt)</w:t>
            </w:r>
          </w:p>
        </w:tc>
        <w:tc>
          <w:tcPr>
            <w:tcW w:w="6243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>
              <w:rPr>
                <w:rFonts w:ascii="Cambria" w:eastAsia="Calibri" w:hAnsi="Cambria"/>
                <w:noProof/>
                <w:sz w:val="19"/>
                <w:szCs w:val="19"/>
              </w:rPr>
              <w:drawing>
                <wp:inline distT="0" distB="0" distL="0" distR="0" wp14:anchorId="0CD2C046" wp14:editId="0C2701FE">
                  <wp:extent cx="247650" cy="2667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B1F" w:rsidRPr="00C17C45" w:rsidTr="00FE28C0">
        <w:tc>
          <w:tcPr>
            <w:tcW w:w="3256" w:type="dxa"/>
            <w:shd w:val="pct10" w:color="auto" w:fill="auto"/>
            <w:vAlign w:val="center"/>
          </w:tcPr>
          <w:p w:rsidR="00A13B1F" w:rsidRPr="00C17C45" w:rsidRDefault="00A13B1F" w:rsidP="00FE28C0">
            <w:pPr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Sabiedrisko pakalpojumu sniedzēja pamatojums ierobežotas pieejamības statusa noteikšanai</w:t>
            </w:r>
          </w:p>
        </w:tc>
        <w:tc>
          <w:tcPr>
            <w:tcW w:w="6243" w:type="dxa"/>
            <w:shd w:val="clear" w:color="auto" w:fill="auto"/>
            <w:vAlign w:val="center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bookmarkEnd w:id="3"/>
    </w:tbl>
    <w:p w:rsidR="00A13B1F" w:rsidRPr="00E54DD1" w:rsidRDefault="00A13B1F" w:rsidP="00A13B1F">
      <w:pPr>
        <w:spacing w:before="130" w:line="260" w:lineRule="exact"/>
        <w:rPr>
          <w:rFonts w:ascii="Cambria" w:eastAsia="Calibri" w:hAnsi="Cambria"/>
          <w:sz w:val="19"/>
          <w:szCs w:val="19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0"/>
        <w:gridCol w:w="2582"/>
        <w:gridCol w:w="546"/>
        <w:gridCol w:w="1610"/>
        <w:gridCol w:w="1523"/>
        <w:gridCol w:w="1545"/>
      </w:tblGrid>
      <w:tr w:rsidR="00A13B1F" w:rsidRPr="00C17C45" w:rsidTr="00FE28C0">
        <w:tc>
          <w:tcPr>
            <w:tcW w:w="578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bookmarkStart w:id="4" w:name="_Hlk497918509"/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1.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2.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3.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4.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5.</w:t>
            </w:r>
          </w:p>
        </w:tc>
      </w:tr>
      <w:tr w:rsidR="00A13B1F" w:rsidRPr="00C17C45" w:rsidTr="00FE28C0">
        <w:tc>
          <w:tcPr>
            <w:tcW w:w="578" w:type="dxa"/>
            <w:vMerge w:val="restart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3084" w:type="dxa"/>
            <w:vMerge w:val="restart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Regulējamās nozares sabiedriskā pakalpojuma veids</w:t>
            </w:r>
          </w:p>
        </w:tc>
        <w:tc>
          <w:tcPr>
            <w:tcW w:w="606" w:type="dxa"/>
            <w:shd w:val="clear" w:color="auto" w:fill="auto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830" w:type="dxa"/>
            <w:shd w:val="clear" w:color="auto" w:fill="auto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Neto apgrozījums</w:t>
            </w:r>
          </w:p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(atbilstošo atzīmēt)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Valsts nodevas par sabiedrisko pakalpojumu regulēšanu likme</w:t>
            </w: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 xml:space="preserve"> (%)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 xml:space="preserve">Aprēķinātā valsts nodeva par sabiedrisko pakalpojumu regulēšanu </w:t>
            </w: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(</w:t>
            </w:r>
            <w:proofErr w:type="spellStart"/>
            <w:r w:rsidRPr="00C17C45">
              <w:rPr>
                <w:rFonts w:ascii="Cambria" w:eastAsia="Calibri" w:hAnsi="Cambria"/>
                <w:i/>
                <w:sz w:val="19"/>
                <w:szCs w:val="19"/>
                <w:lang w:eastAsia="en-US"/>
              </w:rPr>
              <w:t>euro</w:t>
            </w:r>
            <w:proofErr w:type="spellEnd"/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)</w:t>
            </w:r>
          </w:p>
        </w:tc>
      </w:tr>
      <w:tr w:rsidR="00A13B1F" w:rsidRPr="00C17C45" w:rsidTr="00FE28C0">
        <w:tc>
          <w:tcPr>
            <w:tcW w:w="578" w:type="dxa"/>
            <w:vMerge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3084" w:type="dxa"/>
            <w:vMerge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>
              <w:rPr>
                <w:rFonts w:ascii="Cambria" w:eastAsia="Calibri" w:hAnsi="Cambria"/>
                <w:noProof/>
                <w:sz w:val="19"/>
                <w:szCs w:val="19"/>
              </w:rPr>
              <w:drawing>
                <wp:inline distT="0" distB="0" distL="0" distR="0" wp14:anchorId="003B6E64" wp14:editId="0306A8BB">
                  <wp:extent cx="247650" cy="2667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 xml:space="preserve">Plānotais neto apgrozījums darbības </w:t>
            </w: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pirmajā</w:t>
            </w: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 xml:space="preserve"> kalendārajā gadā</w:t>
            </w:r>
          </w:p>
        </w:tc>
        <w:tc>
          <w:tcPr>
            <w:tcW w:w="1705" w:type="dxa"/>
            <w:vMerge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vMerge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3084" w:type="dxa"/>
            <w:vMerge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>
              <w:rPr>
                <w:rFonts w:ascii="Cambria" w:eastAsia="Calibri" w:hAnsi="Cambria"/>
                <w:noProof/>
                <w:sz w:val="19"/>
                <w:szCs w:val="19"/>
              </w:rPr>
              <w:drawing>
                <wp:inline distT="0" distB="0" distL="0" distR="0" wp14:anchorId="3183BC77" wp14:editId="25E201BA">
                  <wp:extent cx="247650" cy="2667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 xml:space="preserve">Faktiskais neto apgrozījums  darbības </w:t>
            </w: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pirmajā</w:t>
            </w: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 xml:space="preserve"> kalendārajā gadā</w:t>
            </w:r>
          </w:p>
        </w:tc>
        <w:tc>
          <w:tcPr>
            <w:tcW w:w="1705" w:type="dxa"/>
            <w:vMerge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vMerge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3084" w:type="dxa"/>
            <w:vMerge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>
              <w:rPr>
                <w:rFonts w:ascii="Cambria" w:eastAsia="Calibri" w:hAnsi="Cambria"/>
                <w:noProof/>
                <w:sz w:val="19"/>
                <w:szCs w:val="19"/>
              </w:rPr>
              <w:drawing>
                <wp:inline distT="0" distB="0" distL="0" distR="0" wp14:anchorId="6A6914B9" wp14:editId="5C4CDEBA">
                  <wp:extent cx="247650" cy="2667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bookmarkStart w:id="5" w:name="_Hlk500413273"/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 xml:space="preserve">Faktiskais neto apgrozījums </w:t>
            </w: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aizpagājušajā</w:t>
            </w: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 xml:space="preserve"> kalendārajā gadā</w:t>
            </w:r>
            <w:bookmarkEnd w:id="5"/>
          </w:p>
        </w:tc>
        <w:tc>
          <w:tcPr>
            <w:tcW w:w="1705" w:type="dxa"/>
            <w:vMerge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pct10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1.</w:t>
            </w:r>
          </w:p>
        </w:tc>
        <w:tc>
          <w:tcPr>
            <w:tcW w:w="3084" w:type="dxa"/>
            <w:shd w:val="pct10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Elektroenerģijas apgādē kopā, tajā skaitā:</w:t>
            </w:r>
          </w:p>
        </w:tc>
        <w:tc>
          <w:tcPr>
            <w:tcW w:w="2436" w:type="dxa"/>
            <w:gridSpan w:val="2"/>
            <w:shd w:val="pct10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pct10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pct10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3084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elektroenerģijas ražošanā elektrostacijās, kuru uzstādītā elektriskā jauda ir lielāka par vienu megavatu</w:t>
            </w:r>
          </w:p>
        </w:tc>
        <w:tc>
          <w:tcPr>
            <w:tcW w:w="2436" w:type="dxa"/>
            <w:gridSpan w:val="2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bookmarkEnd w:id="4"/>
      <w:tr w:rsidR="00A13B1F" w:rsidRPr="00C17C45" w:rsidTr="00FE28C0">
        <w:tc>
          <w:tcPr>
            <w:tcW w:w="578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1.2.</w:t>
            </w:r>
          </w:p>
        </w:tc>
        <w:tc>
          <w:tcPr>
            <w:tcW w:w="3084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elektroenerģijas pārvadē, ja spriegums ir 110 kilovoltu un lielāks</w:t>
            </w:r>
          </w:p>
        </w:tc>
        <w:tc>
          <w:tcPr>
            <w:tcW w:w="2436" w:type="dxa"/>
            <w:gridSpan w:val="2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1.3.</w:t>
            </w:r>
          </w:p>
        </w:tc>
        <w:tc>
          <w:tcPr>
            <w:tcW w:w="3084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elektroenerģijas sadalē, ja spriegums ir lielāks par vienu kilovoltu un nepārsniedz 110 kilovoltus</w:t>
            </w:r>
          </w:p>
        </w:tc>
        <w:tc>
          <w:tcPr>
            <w:tcW w:w="2436" w:type="dxa"/>
            <w:gridSpan w:val="2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1.4.</w:t>
            </w:r>
          </w:p>
        </w:tc>
        <w:tc>
          <w:tcPr>
            <w:tcW w:w="3084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elektroenerģijas tirdzniecībā jebkuriem enerģijas lietotājiem, ja kopējais tirdzniecības apjoms pārsniedz 4000 megavatstundu gadā</w:t>
            </w:r>
          </w:p>
        </w:tc>
        <w:tc>
          <w:tcPr>
            <w:tcW w:w="2436" w:type="dxa"/>
            <w:gridSpan w:val="2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E21D6B" w:rsidRPr="00C17C45" w:rsidTr="00FE28C0">
        <w:tc>
          <w:tcPr>
            <w:tcW w:w="578" w:type="dxa"/>
            <w:shd w:val="clear" w:color="auto" w:fill="auto"/>
            <w:vAlign w:val="center"/>
          </w:tcPr>
          <w:p w:rsidR="00E21D6B" w:rsidRPr="00C17C45" w:rsidRDefault="00E21D6B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>
              <w:rPr>
                <w:rFonts w:ascii="Cambria" w:eastAsia="Calibri" w:hAnsi="Cambria"/>
                <w:sz w:val="19"/>
                <w:szCs w:val="19"/>
                <w:lang w:eastAsia="en-US"/>
              </w:rPr>
              <w:t xml:space="preserve">1.5. </w:t>
            </w:r>
          </w:p>
        </w:tc>
        <w:tc>
          <w:tcPr>
            <w:tcW w:w="3084" w:type="dxa"/>
            <w:shd w:val="clear" w:color="auto" w:fill="auto"/>
          </w:tcPr>
          <w:p w:rsidR="00E21D6B" w:rsidRPr="00E21D6B" w:rsidRDefault="00E21D6B" w:rsidP="00FE28C0">
            <w:pPr>
              <w:rPr>
                <w:rFonts w:asciiTheme="majorHAnsi" w:eastAsia="Calibri" w:hAnsiTheme="majorHAnsi"/>
                <w:sz w:val="19"/>
                <w:szCs w:val="19"/>
                <w:lang w:eastAsia="en-US"/>
              </w:rPr>
            </w:pPr>
            <w:r w:rsidRPr="00E21D6B">
              <w:rPr>
                <w:rFonts w:asciiTheme="majorHAnsi" w:hAnsiTheme="majorHAnsi"/>
                <w:sz w:val="19"/>
                <w:szCs w:val="19"/>
              </w:rPr>
              <w:t xml:space="preserve">elektroenerģijas ražošanā koģenerācijā, kur </w:t>
            </w:r>
            <w:r w:rsidRPr="00E21D6B">
              <w:rPr>
                <w:rFonts w:asciiTheme="majorHAnsi" w:hAnsiTheme="majorHAnsi"/>
                <w:sz w:val="19"/>
                <w:szCs w:val="19"/>
              </w:rPr>
              <w:lastRenderedPageBreak/>
              <w:t>koģenerācijas iekārtu kopējā uzstādītā elektriskā jauda koģenerācijas stacijā ir lielāka par vienu megavatu</w:t>
            </w:r>
          </w:p>
        </w:tc>
        <w:tc>
          <w:tcPr>
            <w:tcW w:w="2436" w:type="dxa"/>
            <w:gridSpan w:val="2"/>
            <w:shd w:val="clear" w:color="auto" w:fill="auto"/>
          </w:tcPr>
          <w:p w:rsidR="00E21D6B" w:rsidRPr="00C17C45" w:rsidRDefault="00E21D6B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E21D6B" w:rsidRPr="00C17C45" w:rsidRDefault="00E21D6B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:rsidR="00E21D6B" w:rsidRPr="00C17C45" w:rsidRDefault="00E21D6B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pct10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2.</w:t>
            </w:r>
          </w:p>
        </w:tc>
        <w:tc>
          <w:tcPr>
            <w:tcW w:w="3084" w:type="dxa"/>
            <w:shd w:val="pct10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Siltumenerģijas apgādē kopā, tajā skaitā:</w:t>
            </w:r>
          </w:p>
        </w:tc>
        <w:tc>
          <w:tcPr>
            <w:tcW w:w="2436" w:type="dxa"/>
            <w:gridSpan w:val="2"/>
            <w:shd w:val="pct10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pct10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pct10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2.1.</w:t>
            </w:r>
          </w:p>
        </w:tc>
        <w:tc>
          <w:tcPr>
            <w:tcW w:w="3084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siltumenerģijas ražošanā, tajā skaitā koģenerācijā, iekārtās ar kopējo uzstādīto siltuma jaudu, kas lielāka par vienu megavatu, ja lietotājiem nodotais siltumenerģijas apjoms pārsniedz 5 000 megavatstundu gadā</w:t>
            </w:r>
          </w:p>
        </w:tc>
        <w:tc>
          <w:tcPr>
            <w:tcW w:w="2436" w:type="dxa"/>
            <w:gridSpan w:val="2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2.2.</w:t>
            </w:r>
          </w:p>
        </w:tc>
        <w:tc>
          <w:tcPr>
            <w:tcW w:w="3084" w:type="dxa"/>
            <w:shd w:val="clear" w:color="auto" w:fill="auto"/>
          </w:tcPr>
          <w:p w:rsidR="00A13B1F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 xml:space="preserve">siltumenerģijas pārvadē un sadalē, ja kopējais pārvadītās un sadalītās siltumenerģijas apjoms pārsniedz </w:t>
            </w:r>
          </w:p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5 000 megavatstundu gadā</w:t>
            </w:r>
          </w:p>
        </w:tc>
        <w:tc>
          <w:tcPr>
            <w:tcW w:w="2436" w:type="dxa"/>
            <w:gridSpan w:val="2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2.3.</w:t>
            </w:r>
          </w:p>
        </w:tc>
        <w:tc>
          <w:tcPr>
            <w:tcW w:w="3084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siltumenerģijas tirdzniecībā lietotājiem, ja kopējais siltumenerģijas tirdzniecības apjoms pārsniedz 5 000 megavatstundu gadā</w:t>
            </w:r>
          </w:p>
        </w:tc>
        <w:tc>
          <w:tcPr>
            <w:tcW w:w="2436" w:type="dxa"/>
            <w:gridSpan w:val="2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pct10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3.</w:t>
            </w:r>
          </w:p>
        </w:tc>
        <w:tc>
          <w:tcPr>
            <w:tcW w:w="3084" w:type="dxa"/>
            <w:shd w:val="pct10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Dabasgāzes apgādē kopā, tajā skaitā:</w:t>
            </w:r>
          </w:p>
        </w:tc>
        <w:tc>
          <w:tcPr>
            <w:tcW w:w="2436" w:type="dxa"/>
            <w:gridSpan w:val="2"/>
            <w:shd w:val="pct10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pct10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pct10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3.1.</w:t>
            </w:r>
          </w:p>
        </w:tc>
        <w:tc>
          <w:tcPr>
            <w:tcW w:w="3084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dabasgāzes pārvadē pa cauruļvadiem</w:t>
            </w:r>
          </w:p>
        </w:tc>
        <w:tc>
          <w:tcPr>
            <w:tcW w:w="2436" w:type="dxa"/>
            <w:gridSpan w:val="2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3.2.</w:t>
            </w:r>
          </w:p>
        </w:tc>
        <w:tc>
          <w:tcPr>
            <w:tcW w:w="3084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tirdzniecībai paredzētās dabasgāzes uzglabāšanā tvertnēs vai krātuvēs</w:t>
            </w:r>
          </w:p>
        </w:tc>
        <w:tc>
          <w:tcPr>
            <w:tcW w:w="2436" w:type="dxa"/>
            <w:gridSpan w:val="2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3.3.</w:t>
            </w:r>
          </w:p>
        </w:tc>
        <w:tc>
          <w:tcPr>
            <w:tcW w:w="3084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dabasgāzes sadalē</w:t>
            </w:r>
          </w:p>
        </w:tc>
        <w:tc>
          <w:tcPr>
            <w:tcW w:w="2436" w:type="dxa"/>
            <w:gridSpan w:val="2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3.4.</w:t>
            </w:r>
          </w:p>
        </w:tc>
        <w:tc>
          <w:tcPr>
            <w:tcW w:w="3084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dabasgāzes tirdzniecībā jebkuriem enerģijas lietotājiem, izņemot dabasgāzes tirdzniecību automobiļu gāzes uzpildes kompresoru stacijās</w:t>
            </w:r>
          </w:p>
        </w:tc>
        <w:tc>
          <w:tcPr>
            <w:tcW w:w="2436" w:type="dxa"/>
            <w:gridSpan w:val="2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3.5.</w:t>
            </w:r>
          </w:p>
        </w:tc>
        <w:tc>
          <w:tcPr>
            <w:tcW w:w="3084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dabasgāzes šķidrināšanā vai sašķidrinātās dabasgāzes saņemšanā, izkraušanā, uzglabāšanā un pārvēršanā gāzveida stāvoklī turpmākai piegādei uz dabasgāzes pārvades sistēmu</w:t>
            </w:r>
          </w:p>
        </w:tc>
        <w:tc>
          <w:tcPr>
            <w:tcW w:w="2436" w:type="dxa"/>
            <w:gridSpan w:val="2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  <w:p w:rsidR="00A13B1F" w:rsidRPr="00C17C45" w:rsidRDefault="00A13B1F" w:rsidP="00FE28C0">
            <w:pPr>
              <w:tabs>
                <w:tab w:val="left" w:pos="1230"/>
              </w:tabs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 xml:space="preserve"> </w:t>
            </w:r>
          </w:p>
        </w:tc>
      </w:tr>
      <w:tr w:rsidR="00A13B1F" w:rsidRPr="00C17C45" w:rsidTr="00FE28C0">
        <w:tc>
          <w:tcPr>
            <w:tcW w:w="578" w:type="dxa"/>
            <w:shd w:val="pct10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4.</w:t>
            </w:r>
          </w:p>
        </w:tc>
        <w:tc>
          <w:tcPr>
            <w:tcW w:w="3084" w:type="dxa"/>
            <w:shd w:val="pct10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Elektronisko sakaru nozarē kopā, tajā skaitā:</w:t>
            </w:r>
          </w:p>
        </w:tc>
        <w:tc>
          <w:tcPr>
            <w:tcW w:w="2436" w:type="dxa"/>
            <w:gridSpan w:val="2"/>
            <w:shd w:val="pct10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pct10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pct10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4.1.</w:t>
            </w:r>
          </w:p>
        </w:tc>
        <w:tc>
          <w:tcPr>
            <w:tcW w:w="3084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balss telefonijas pakalpojumos</w:t>
            </w:r>
          </w:p>
        </w:tc>
        <w:tc>
          <w:tcPr>
            <w:tcW w:w="2436" w:type="dxa"/>
            <w:gridSpan w:val="2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4.2.</w:t>
            </w:r>
          </w:p>
        </w:tc>
        <w:tc>
          <w:tcPr>
            <w:tcW w:w="3084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publiskajos taksofonu pakalpojumos</w:t>
            </w:r>
          </w:p>
        </w:tc>
        <w:tc>
          <w:tcPr>
            <w:tcW w:w="2436" w:type="dxa"/>
            <w:gridSpan w:val="2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4.3.</w:t>
            </w:r>
          </w:p>
        </w:tc>
        <w:tc>
          <w:tcPr>
            <w:tcW w:w="3084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publiskos datu un elektronisko ziņojumu pārraides pakalpojumos</w:t>
            </w:r>
          </w:p>
        </w:tc>
        <w:tc>
          <w:tcPr>
            <w:tcW w:w="2436" w:type="dxa"/>
            <w:gridSpan w:val="2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4.4.</w:t>
            </w:r>
          </w:p>
        </w:tc>
        <w:tc>
          <w:tcPr>
            <w:tcW w:w="3084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nomāto līniju pakalpojumos</w:t>
            </w:r>
          </w:p>
        </w:tc>
        <w:tc>
          <w:tcPr>
            <w:tcW w:w="2436" w:type="dxa"/>
            <w:gridSpan w:val="2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4.5.</w:t>
            </w:r>
          </w:p>
        </w:tc>
        <w:tc>
          <w:tcPr>
            <w:tcW w:w="3084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publiskos interneta piekļuves pakalpojumos</w:t>
            </w:r>
          </w:p>
        </w:tc>
        <w:tc>
          <w:tcPr>
            <w:tcW w:w="2436" w:type="dxa"/>
            <w:gridSpan w:val="2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4.6.</w:t>
            </w:r>
          </w:p>
        </w:tc>
        <w:tc>
          <w:tcPr>
            <w:tcW w:w="3084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 xml:space="preserve">radio vai televīzijas </w:t>
            </w: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lastRenderedPageBreak/>
              <w:t>programmu izplatīšanas pakalpojumos publiskajos elektronisko sakaru tīklos</w:t>
            </w:r>
          </w:p>
        </w:tc>
        <w:tc>
          <w:tcPr>
            <w:tcW w:w="2436" w:type="dxa"/>
            <w:gridSpan w:val="2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4.7.</w:t>
            </w:r>
          </w:p>
        </w:tc>
        <w:tc>
          <w:tcPr>
            <w:tcW w:w="3084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piekļuves pakalpojumos</w:t>
            </w:r>
          </w:p>
        </w:tc>
        <w:tc>
          <w:tcPr>
            <w:tcW w:w="2436" w:type="dxa"/>
            <w:gridSpan w:val="2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4.8.</w:t>
            </w:r>
          </w:p>
        </w:tc>
        <w:tc>
          <w:tcPr>
            <w:tcW w:w="3084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starpsavienojuma pakalpojumos</w:t>
            </w:r>
          </w:p>
        </w:tc>
        <w:tc>
          <w:tcPr>
            <w:tcW w:w="2436" w:type="dxa"/>
            <w:gridSpan w:val="2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pct10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5.</w:t>
            </w:r>
          </w:p>
        </w:tc>
        <w:tc>
          <w:tcPr>
            <w:tcW w:w="3084" w:type="dxa"/>
            <w:shd w:val="pct10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Pasta nozarē kopā, tajā skaitā:</w:t>
            </w:r>
          </w:p>
        </w:tc>
        <w:tc>
          <w:tcPr>
            <w:tcW w:w="2436" w:type="dxa"/>
            <w:gridSpan w:val="2"/>
            <w:shd w:val="pct10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pct10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pct10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5.1.</w:t>
            </w:r>
          </w:p>
        </w:tc>
        <w:tc>
          <w:tcPr>
            <w:tcW w:w="3084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tradicionālos pasta pakalpojumos</w:t>
            </w:r>
          </w:p>
        </w:tc>
        <w:tc>
          <w:tcPr>
            <w:tcW w:w="2436" w:type="dxa"/>
            <w:gridSpan w:val="2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5.2.</w:t>
            </w:r>
          </w:p>
        </w:tc>
        <w:tc>
          <w:tcPr>
            <w:tcW w:w="3084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kurjerpasta pakalpojumos</w:t>
            </w:r>
          </w:p>
        </w:tc>
        <w:tc>
          <w:tcPr>
            <w:tcW w:w="2436" w:type="dxa"/>
            <w:gridSpan w:val="2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5.3.</w:t>
            </w:r>
          </w:p>
        </w:tc>
        <w:tc>
          <w:tcPr>
            <w:tcW w:w="3084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eksprespasta pakalpojumos</w:t>
            </w:r>
          </w:p>
        </w:tc>
        <w:tc>
          <w:tcPr>
            <w:tcW w:w="2436" w:type="dxa"/>
            <w:gridSpan w:val="2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5.4.</w:t>
            </w:r>
          </w:p>
        </w:tc>
        <w:tc>
          <w:tcPr>
            <w:tcW w:w="3084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abonēto preses izdevumu piegādes pakalpojumos</w:t>
            </w:r>
          </w:p>
        </w:tc>
        <w:tc>
          <w:tcPr>
            <w:tcW w:w="2436" w:type="dxa"/>
            <w:gridSpan w:val="2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pct10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6.</w:t>
            </w:r>
          </w:p>
        </w:tc>
        <w:tc>
          <w:tcPr>
            <w:tcW w:w="3084" w:type="dxa"/>
            <w:shd w:val="pct10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Ūdenssaimniecības nozarē kopā, tajā skaitā:</w:t>
            </w:r>
          </w:p>
        </w:tc>
        <w:tc>
          <w:tcPr>
            <w:tcW w:w="2436" w:type="dxa"/>
            <w:gridSpan w:val="2"/>
            <w:shd w:val="pct10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pct10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pct10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6.1.</w:t>
            </w:r>
          </w:p>
        </w:tc>
        <w:tc>
          <w:tcPr>
            <w:tcW w:w="3084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ūdens ieguvē, uzkrāšanā un sagatavošanā lietošanai līdz padevei centralizētajā ūdensvada tīklā</w:t>
            </w:r>
          </w:p>
        </w:tc>
        <w:tc>
          <w:tcPr>
            <w:tcW w:w="2436" w:type="dxa"/>
            <w:gridSpan w:val="2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6.2.</w:t>
            </w:r>
          </w:p>
        </w:tc>
        <w:tc>
          <w:tcPr>
            <w:tcW w:w="3084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ūdens piegādē no padeves vietas centralizētā ūdensvada tīklā līdz piederības robežai</w:t>
            </w:r>
          </w:p>
        </w:tc>
        <w:tc>
          <w:tcPr>
            <w:tcW w:w="2436" w:type="dxa"/>
            <w:gridSpan w:val="2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6.3.</w:t>
            </w:r>
          </w:p>
        </w:tc>
        <w:tc>
          <w:tcPr>
            <w:tcW w:w="3084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notekūdeņu savākšanā centralizētajās kanalizācijas sistēmās un novadīšanā līdz notekūdeņu attīrīšanas iekārtām</w:t>
            </w:r>
          </w:p>
        </w:tc>
        <w:tc>
          <w:tcPr>
            <w:tcW w:w="2436" w:type="dxa"/>
            <w:gridSpan w:val="2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6.4.</w:t>
            </w:r>
          </w:p>
        </w:tc>
        <w:tc>
          <w:tcPr>
            <w:tcW w:w="3084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notekūdeņu attīrīšanā un novadīšanā vidē, tajā skaitā, virszemes ūdensobjektos</w:t>
            </w:r>
          </w:p>
        </w:tc>
        <w:tc>
          <w:tcPr>
            <w:tcW w:w="2436" w:type="dxa"/>
            <w:gridSpan w:val="2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pct10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7.</w:t>
            </w:r>
          </w:p>
        </w:tc>
        <w:tc>
          <w:tcPr>
            <w:tcW w:w="3084" w:type="dxa"/>
            <w:shd w:val="pct10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Sadzīves atkritumu apsaimniekošanas nozarē sadzīves atkritumu apglabāšanā poligonos</w:t>
            </w:r>
          </w:p>
        </w:tc>
        <w:tc>
          <w:tcPr>
            <w:tcW w:w="2436" w:type="dxa"/>
            <w:gridSpan w:val="2"/>
            <w:shd w:val="pct10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pct10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pct10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pct10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8.</w:t>
            </w:r>
          </w:p>
        </w:tc>
        <w:tc>
          <w:tcPr>
            <w:tcW w:w="3084" w:type="dxa"/>
            <w:shd w:val="pct10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 xml:space="preserve">Komersanta sniegto sabiedrisko pakalpojumu kopējais neto apgrozījums attiecīgajā kalendārajā gadā /  kopējā aprēķinātā valsts nodeva par sabiedrisko pakalpojumu regulēšanu (1+2+3+4+5+6+7, bet ne mazāk kā 200 </w:t>
            </w:r>
            <w:proofErr w:type="spellStart"/>
            <w:r w:rsidRPr="00C17C45">
              <w:rPr>
                <w:rFonts w:ascii="Cambria" w:eastAsia="Calibri" w:hAnsi="Cambria"/>
                <w:b/>
                <w:i/>
                <w:sz w:val="19"/>
                <w:szCs w:val="19"/>
                <w:lang w:eastAsia="en-US"/>
              </w:rPr>
              <w:t>euro</w:t>
            </w:r>
            <w:proofErr w:type="spellEnd"/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)</w:t>
            </w:r>
          </w:p>
        </w:tc>
        <w:tc>
          <w:tcPr>
            <w:tcW w:w="2436" w:type="dxa"/>
            <w:gridSpan w:val="2"/>
            <w:shd w:val="pct10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solid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40" w:type="dxa"/>
            <w:shd w:val="pct10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578" w:type="dxa"/>
            <w:shd w:val="clear" w:color="auto" w:fill="auto"/>
            <w:vAlign w:val="center"/>
          </w:tcPr>
          <w:p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9.</w:t>
            </w:r>
          </w:p>
        </w:tc>
        <w:tc>
          <w:tcPr>
            <w:tcW w:w="3084" w:type="dxa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Komersanta kopējais neto apgrozījums</w:t>
            </w: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 xml:space="preserve"> </w:t>
            </w: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attiecīgajā kalendārajā gadā (tajā skaitā komersanta sniegto sabiedrisko pakalpojumu kopējais neto apgrozījums</w:t>
            </w: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 xml:space="preserve"> </w:t>
            </w: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attiecīgajā kalendārajā gadā)</w:t>
            </w:r>
          </w:p>
        </w:tc>
        <w:tc>
          <w:tcPr>
            <w:tcW w:w="2436" w:type="dxa"/>
            <w:gridSpan w:val="2"/>
            <w:shd w:val="clear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solid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40" w:type="dxa"/>
            <w:shd w:val="solid" w:color="auto" w:fill="auto"/>
          </w:tcPr>
          <w:p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</w:tbl>
    <w:p w:rsidR="00A13B1F" w:rsidRPr="00E54DD1" w:rsidRDefault="00A13B1F" w:rsidP="00A13B1F">
      <w:pPr>
        <w:spacing w:before="130" w:line="260" w:lineRule="exact"/>
        <w:rPr>
          <w:rFonts w:ascii="Cambria" w:eastAsia="Calibri" w:hAnsi="Cambria"/>
          <w:sz w:val="19"/>
          <w:szCs w:val="19"/>
          <w:lang w:eastAsia="en-US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64"/>
        <w:gridCol w:w="366"/>
        <w:gridCol w:w="216"/>
        <w:gridCol w:w="133"/>
        <w:gridCol w:w="210"/>
        <w:gridCol w:w="355"/>
        <w:gridCol w:w="375"/>
        <w:gridCol w:w="580"/>
        <w:gridCol w:w="1517"/>
        <w:gridCol w:w="4190"/>
      </w:tblGrid>
      <w:tr w:rsidR="00A13B1F" w:rsidRPr="00C17C45" w:rsidTr="00FE28C0">
        <w:tc>
          <w:tcPr>
            <w:tcW w:w="956" w:type="dxa"/>
            <w:gridSpan w:val="3"/>
            <w:vAlign w:val="bottom"/>
          </w:tcPr>
          <w:p w:rsidR="00A13B1F" w:rsidRPr="00C17C45" w:rsidRDefault="00A13B1F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t>Datums</w:t>
            </w:r>
          </w:p>
        </w:tc>
        <w:tc>
          <w:tcPr>
            <w:tcW w:w="364" w:type="dxa"/>
            <w:gridSpan w:val="2"/>
          </w:tcPr>
          <w:p w:rsidR="00A13B1F" w:rsidRPr="00C17C45" w:rsidRDefault="00A13B1F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364" w:type="dxa"/>
            <w:vAlign w:val="center"/>
          </w:tcPr>
          <w:p w:rsidR="00A13B1F" w:rsidRPr="00C17C45" w:rsidRDefault="00A13B1F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begin">
                <w:ffData>
                  <w:name w:val="Teksts7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instrText xml:space="preserve"> FORMTEXT </w:instrText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separate"/>
            </w:r>
            <w:r w:rsidRPr="00C17C45">
              <w:rPr>
                <w:rFonts w:ascii="Cambria" w:hAnsi="Cambria"/>
                <w:noProof/>
                <w:sz w:val="19"/>
                <w:szCs w:val="19"/>
                <w:lang w:eastAsia="en-US"/>
              </w:rPr>
              <w:t>__</w:t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end"/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386" w:type="dxa"/>
            <w:vAlign w:val="center"/>
          </w:tcPr>
          <w:p w:rsidR="00A13B1F" w:rsidRPr="00C17C45" w:rsidRDefault="00A13B1F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begin">
                <w:ffData>
                  <w:name w:val="Teksts5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instrText xml:space="preserve"> FORMTEXT </w:instrText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separate"/>
            </w:r>
            <w:r w:rsidRPr="00C17C45">
              <w:rPr>
                <w:rFonts w:ascii="Cambria" w:hAnsi="Cambria"/>
                <w:noProof/>
                <w:sz w:val="19"/>
                <w:szCs w:val="19"/>
                <w:lang w:eastAsia="en-US"/>
              </w:rPr>
              <w:t>__</w:t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end"/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595" w:type="dxa"/>
            <w:vAlign w:val="center"/>
          </w:tcPr>
          <w:p w:rsidR="00A13B1F" w:rsidRPr="00C17C45" w:rsidRDefault="00A13B1F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begin">
                <w:ffData>
                  <w:name w:val="Teksts6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instrText xml:space="preserve"> FORMTEXT </w:instrText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separate"/>
            </w:r>
            <w:r w:rsidRPr="00C17C45">
              <w:rPr>
                <w:rFonts w:ascii="Cambria" w:hAnsi="Cambria"/>
                <w:noProof/>
                <w:sz w:val="19"/>
                <w:szCs w:val="19"/>
                <w:lang w:eastAsia="en-US"/>
              </w:rPr>
              <w:t>____</w:t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end"/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1627" w:type="dxa"/>
            <w:vAlign w:val="bottom"/>
          </w:tcPr>
          <w:p w:rsidR="00A13B1F" w:rsidRPr="00C17C45" w:rsidRDefault="00A13B1F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4434" w:type="dxa"/>
            <w:vAlign w:val="center"/>
          </w:tcPr>
          <w:p w:rsidR="00A13B1F" w:rsidRPr="00C17C45" w:rsidRDefault="00A13B1F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364" w:type="dxa"/>
          </w:tcPr>
          <w:p w:rsidR="00A13B1F" w:rsidRPr="00C17C45" w:rsidRDefault="00A13B1F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3928" w:type="dxa"/>
            <w:gridSpan w:val="8"/>
          </w:tcPr>
          <w:p w:rsidR="00A13B1F" w:rsidRPr="00C17C45" w:rsidRDefault="00A13B1F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4434" w:type="dxa"/>
          </w:tcPr>
          <w:p w:rsidR="00A13B1F" w:rsidRPr="00C17C45" w:rsidRDefault="00A13B1F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364" w:type="dxa"/>
          </w:tcPr>
          <w:p w:rsidR="00A13B1F" w:rsidRPr="00C17C45" w:rsidRDefault="00A13B1F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3928" w:type="dxa"/>
            <w:gridSpan w:val="8"/>
            <w:vAlign w:val="center"/>
          </w:tcPr>
          <w:p w:rsidR="00A13B1F" w:rsidRPr="00C17C45" w:rsidRDefault="00A13B1F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t>Persona,</w:t>
            </w:r>
          </w:p>
          <w:p w:rsidR="00A13B1F" w:rsidRPr="00C17C45" w:rsidRDefault="00A13B1F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t>kura tiesīga pārstāvēt komersantu</w:t>
            </w:r>
          </w:p>
        </w:tc>
        <w:tc>
          <w:tcPr>
            <w:tcW w:w="4434" w:type="dxa"/>
            <w:tcBorders>
              <w:bottom w:val="single" w:sz="4" w:space="0" w:color="auto"/>
            </w:tcBorders>
            <w:vAlign w:val="center"/>
          </w:tcPr>
          <w:p w:rsidR="00A13B1F" w:rsidRPr="00C17C45" w:rsidRDefault="00A13B1F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364" w:type="dxa"/>
          </w:tcPr>
          <w:p w:rsidR="00A13B1F" w:rsidRPr="00C17C45" w:rsidRDefault="00A13B1F" w:rsidP="00FE28C0">
            <w:pPr>
              <w:tabs>
                <w:tab w:val="left" w:pos="3960"/>
              </w:tabs>
              <w:rPr>
                <w:rFonts w:ascii="Cambria" w:hAnsi="Cambria"/>
                <w:sz w:val="17"/>
                <w:szCs w:val="17"/>
                <w:lang w:eastAsia="en-US"/>
              </w:rPr>
            </w:pPr>
          </w:p>
        </w:tc>
        <w:tc>
          <w:tcPr>
            <w:tcW w:w="3928" w:type="dxa"/>
            <w:gridSpan w:val="8"/>
          </w:tcPr>
          <w:p w:rsidR="00A13B1F" w:rsidRPr="00C17C45" w:rsidRDefault="00A13B1F" w:rsidP="00FE28C0">
            <w:pPr>
              <w:tabs>
                <w:tab w:val="left" w:pos="3960"/>
              </w:tabs>
              <w:rPr>
                <w:rFonts w:ascii="Cambria" w:hAnsi="Cambria"/>
                <w:sz w:val="17"/>
                <w:szCs w:val="17"/>
                <w:lang w:eastAsia="en-US"/>
              </w:rPr>
            </w:pPr>
          </w:p>
        </w:tc>
        <w:tc>
          <w:tcPr>
            <w:tcW w:w="4434" w:type="dxa"/>
            <w:tcBorders>
              <w:top w:val="single" w:sz="4" w:space="0" w:color="auto"/>
            </w:tcBorders>
          </w:tcPr>
          <w:p w:rsidR="00A13B1F" w:rsidRPr="00C17C45" w:rsidRDefault="00A13B1F" w:rsidP="00FE28C0">
            <w:pPr>
              <w:tabs>
                <w:tab w:val="left" w:pos="3960"/>
              </w:tabs>
              <w:jc w:val="center"/>
              <w:rPr>
                <w:rFonts w:ascii="Cambria" w:hAnsi="Cambria"/>
                <w:sz w:val="17"/>
                <w:szCs w:val="17"/>
                <w:lang w:eastAsia="en-US"/>
              </w:rPr>
            </w:pPr>
            <w:r w:rsidRPr="00C17C45">
              <w:rPr>
                <w:rFonts w:ascii="Cambria" w:hAnsi="Cambria"/>
                <w:sz w:val="17"/>
                <w:szCs w:val="17"/>
                <w:lang w:eastAsia="en-US"/>
              </w:rPr>
              <w:t>/paraksts un tā atšifrējums/</w:t>
            </w:r>
          </w:p>
        </w:tc>
      </w:tr>
      <w:tr w:rsidR="00A13B1F" w:rsidRPr="00C17C45" w:rsidTr="00FE28C0">
        <w:tc>
          <w:tcPr>
            <w:tcW w:w="364" w:type="dxa"/>
          </w:tcPr>
          <w:p w:rsidR="00A13B1F" w:rsidRPr="00C17C45" w:rsidRDefault="00A13B1F" w:rsidP="00FE28C0">
            <w:pPr>
              <w:tabs>
                <w:tab w:val="left" w:pos="360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3928" w:type="dxa"/>
            <w:gridSpan w:val="8"/>
          </w:tcPr>
          <w:p w:rsidR="00A13B1F" w:rsidRPr="00C17C45" w:rsidRDefault="00A13B1F" w:rsidP="00FE28C0">
            <w:pPr>
              <w:tabs>
                <w:tab w:val="left" w:pos="360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4434" w:type="dxa"/>
          </w:tcPr>
          <w:p w:rsidR="00A13B1F" w:rsidRPr="00C17C45" w:rsidRDefault="00A13B1F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364" w:type="dxa"/>
            <w:tcBorders>
              <w:bottom w:val="single" w:sz="4" w:space="0" w:color="auto"/>
            </w:tcBorders>
          </w:tcPr>
          <w:p w:rsidR="00A13B1F" w:rsidRPr="00C17C45" w:rsidRDefault="00A13B1F" w:rsidP="00FE28C0">
            <w:pPr>
              <w:tabs>
                <w:tab w:val="left" w:pos="3600"/>
              </w:tabs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3928" w:type="dxa"/>
            <w:gridSpan w:val="8"/>
            <w:tcBorders>
              <w:bottom w:val="single" w:sz="4" w:space="0" w:color="auto"/>
            </w:tcBorders>
          </w:tcPr>
          <w:p w:rsidR="00A13B1F" w:rsidRPr="00C17C45" w:rsidRDefault="00A13B1F" w:rsidP="00FE28C0">
            <w:pPr>
              <w:tabs>
                <w:tab w:val="left" w:pos="3600"/>
              </w:tabs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4434" w:type="dxa"/>
          </w:tcPr>
          <w:p w:rsidR="00A13B1F" w:rsidRPr="00C17C45" w:rsidRDefault="00A13B1F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364" w:type="dxa"/>
            <w:tcBorders>
              <w:top w:val="single" w:sz="4" w:space="0" w:color="auto"/>
            </w:tcBorders>
          </w:tcPr>
          <w:p w:rsidR="00A13B1F" w:rsidRPr="00C17C45" w:rsidRDefault="00A13B1F" w:rsidP="00FE28C0">
            <w:pPr>
              <w:jc w:val="center"/>
              <w:rPr>
                <w:rFonts w:ascii="Cambria" w:hAnsi="Cambria"/>
                <w:sz w:val="17"/>
                <w:szCs w:val="17"/>
                <w:lang w:eastAsia="en-US"/>
              </w:rPr>
            </w:pPr>
          </w:p>
        </w:tc>
        <w:tc>
          <w:tcPr>
            <w:tcW w:w="3928" w:type="dxa"/>
            <w:gridSpan w:val="8"/>
            <w:tcBorders>
              <w:top w:val="single" w:sz="4" w:space="0" w:color="auto"/>
            </w:tcBorders>
          </w:tcPr>
          <w:p w:rsidR="00A13B1F" w:rsidRPr="00C17C45" w:rsidRDefault="00A13B1F" w:rsidP="00FE28C0">
            <w:pPr>
              <w:jc w:val="center"/>
              <w:rPr>
                <w:rFonts w:ascii="Cambria" w:hAnsi="Cambria"/>
                <w:sz w:val="17"/>
                <w:szCs w:val="17"/>
                <w:lang w:eastAsia="en-US"/>
              </w:rPr>
            </w:pPr>
            <w:r w:rsidRPr="00C17C45">
              <w:rPr>
                <w:rFonts w:ascii="Cambria" w:hAnsi="Cambria"/>
                <w:sz w:val="17"/>
                <w:szCs w:val="17"/>
                <w:lang w:eastAsia="en-US"/>
              </w:rPr>
              <w:t>/sagatavotāja vārds, uzvārds/</w:t>
            </w:r>
          </w:p>
        </w:tc>
        <w:tc>
          <w:tcPr>
            <w:tcW w:w="4434" w:type="dxa"/>
          </w:tcPr>
          <w:p w:rsidR="00A13B1F" w:rsidRPr="00C17C45" w:rsidRDefault="00A13B1F" w:rsidP="00FE28C0">
            <w:pPr>
              <w:tabs>
                <w:tab w:val="left" w:pos="3960"/>
              </w:tabs>
              <w:rPr>
                <w:rFonts w:ascii="Cambria" w:hAnsi="Cambria"/>
                <w:sz w:val="17"/>
                <w:szCs w:val="17"/>
                <w:lang w:eastAsia="en-US"/>
              </w:rPr>
            </w:pPr>
          </w:p>
        </w:tc>
      </w:tr>
      <w:tr w:rsidR="00A13B1F" w:rsidRPr="00C17C45" w:rsidTr="00FE28C0">
        <w:tc>
          <w:tcPr>
            <w:tcW w:w="733" w:type="dxa"/>
            <w:gridSpan w:val="2"/>
            <w:vAlign w:val="bottom"/>
          </w:tcPr>
          <w:p w:rsidR="00A13B1F" w:rsidRPr="00C17C45" w:rsidRDefault="00A13B1F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t>tālrunis</w:t>
            </w:r>
          </w:p>
        </w:tc>
        <w:tc>
          <w:tcPr>
            <w:tcW w:w="364" w:type="dxa"/>
            <w:gridSpan w:val="2"/>
          </w:tcPr>
          <w:p w:rsidR="00A13B1F" w:rsidRPr="00C17C45" w:rsidRDefault="00A13B1F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3195" w:type="dxa"/>
            <w:gridSpan w:val="5"/>
            <w:tcBorders>
              <w:bottom w:val="single" w:sz="4" w:space="0" w:color="auto"/>
            </w:tcBorders>
            <w:vAlign w:val="bottom"/>
          </w:tcPr>
          <w:p w:rsidR="00A13B1F" w:rsidRPr="00C17C45" w:rsidRDefault="00A13B1F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4434" w:type="dxa"/>
          </w:tcPr>
          <w:p w:rsidR="00A13B1F" w:rsidRPr="00C17C45" w:rsidRDefault="00A13B1F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733" w:type="dxa"/>
            <w:gridSpan w:val="2"/>
            <w:vAlign w:val="bottom"/>
          </w:tcPr>
          <w:p w:rsidR="00A13B1F" w:rsidRPr="00C17C45" w:rsidRDefault="00A13B1F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364" w:type="dxa"/>
            <w:gridSpan w:val="2"/>
          </w:tcPr>
          <w:p w:rsidR="00A13B1F" w:rsidRPr="00C17C45" w:rsidRDefault="00A13B1F" w:rsidP="00FE28C0">
            <w:pPr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3195" w:type="dxa"/>
            <w:gridSpan w:val="5"/>
            <w:vAlign w:val="bottom"/>
          </w:tcPr>
          <w:p w:rsidR="00A13B1F" w:rsidRPr="00C17C45" w:rsidRDefault="00A13B1F" w:rsidP="00FE28C0">
            <w:pPr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4434" w:type="dxa"/>
          </w:tcPr>
          <w:p w:rsidR="00A13B1F" w:rsidRPr="00C17C45" w:rsidRDefault="00A13B1F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:rsidTr="00FE28C0">
        <w:tc>
          <w:tcPr>
            <w:tcW w:w="733" w:type="dxa"/>
            <w:gridSpan w:val="2"/>
            <w:vAlign w:val="bottom"/>
          </w:tcPr>
          <w:p w:rsidR="00A13B1F" w:rsidRPr="00C17C45" w:rsidRDefault="00A13B1F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t>e-pasts</w:t>
            </w:r>
          </w:p>
        </w:tc>
        <w:tc>
          <w:tcPr>
            <w:tcW w:w="364" w:type="dxa"/>
            <w:gridSpan w:val="2"/>
          </w:tcPr>
          <w:p w:rsidR="00A13B1F" w:rsidRPr="00C17C45" w:rsidRDefault="00A13B1F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3195" w:type="dxa"/>
            <w:gridSpan w:val="5"/>
            <w:tcBorders>
              <w:bottom w:val="single" w:sz="4" w:space="0" w:color="auto"/>
            </w:tcBorders>
            <w:vAlign w:val="bottom"/>
          </w:tcPr>
          <w:p w:rsidR="00A13B1F" w:rsidRPr="00C17C45" w:rsidRDefault="00A13B1F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4434" w:type="dxa"/>
          </w:tcPr>
          <w:p w:rsidR="00A13B1F" w:rsidRPr="00C17C45" w:rsidRDefault="00A13B1F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</w:tbl>
    <w:p w:rsidR="00815EE5" w:rsidRPr="00A13B1F" w:rsidRDefault="00815EE5" w:rsidP="00A13B1F"/>
    <w:sectPr w:rsidR="00815EE5" w:rsidRPr="00A13B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E1"/>
    <w:rsid w:val="00144368"/>
    <w:rsid w:val="00815EE5"/>
    <w:rsid w:val="00A13B1F"/>
    <w:rsid w:val="00DD3EE1"/>
    <w:rsid w:val="00E2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21498-2C20-4D30-BC83-E1856B81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D3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DD3EE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D3EE1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sandra.spulge</dc:creator>
  <cp:lastModifiedBy>Dace Burtniece</cp:lastModifiedBy>
  <cp:revision>2</cp:revision>
  <dcterms:created xsi:type="dcterms:W3CDTF">2019-05-03T11:00:00Z</dcterms:created>
  <dcterms:modified xsi:type="dcterms:W3CDTF">2019-05-03T11:00:00Z</dcterms:modified>
</cp:coreProperties>
</file>