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0A0" w:firstRow="1" w:lastRow="0" w:firstColumn="1" w:lastColumn="0" w:noHBand="0" w:noVBand="0"/>
      </w:tblPr>
      <w:tblGrid>
        <w:gridCol w:w="5669"/>
        <w:gridCol w:w="3402"/>
      </w:tblGrid>
      <w:tr w:rsidR="002B13F7" w14:paraId="053F1327" w14:textId="77777777" w:rsidTr="002B13F7">
        <w:tc>
          <w:tcPr>
            <w:tcW w:w="3125" w:type="pct"/>
          </w:tcPr>
          <w:p w14:paraId="50ABA9C7" w14:textId="77777777" w:rsidR="002B13F7" w:rsidRDefault="002B13F7" w:rsidP="002B13F7">
            <w:pPr>
              <w:keepLines/>
              <w:autoSpaceDE w:val="0"/>
              <w:autoSpaceDN w:val="0"/>
              <w:adjustRightInd w:val="0"/>
              <w:spacing w:after="0" w:line="40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Rīgā</w:t>
            </w:r>
          </w:p>
          <w:p w14:paraId="649D22F7" w14:textId="77777777" w:rsidR="002B13F7" w:rsidRDefault="002B13F7" w:rsidP="002B13F7">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14:paraId="7B53383E" w14:textId="77777777" w:rsidR="002B13F7" w:rsidRDefault="002B13F7" w:rsidP="002B13F7">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30VD00-19/1557</w:t>
            </w:r>
          </w:p>
        </w:tc>
        <w:tc>
          <w:tcPr>
            <w:tcW w:w="1875" w:type="pct"/>
          </w:tcPr>
          <w:p w14:paraId="42A18C8C" w14:textId="77777777" w:rsidR="002B13F7" w:rsidRDefault="002B13F7" w:rsidP="002B13F7">
            <w:pPr>
              <w:keepLines/>
              <w:autoSpaceDE w:val="0"/>
              <w:autoSpaceDN w:val="0"/>
              <w:adjustRightInd w:val="0"/>
              <w:spacing w:after="0" w:line="240" w:lineRule="auto"/>
              <w:jc w:val="right"/>
              <w:rPr>
                <w:rFonts w:ascii="Times New Roman" w:hAnsi="Times New Roman" w:cs="Times New Roman"/>
                <w:color w:val="000000"/>
                <w:sz w:val="24"/>
                <w:szCs w:val="24"/>
              </w:rPr>
            </w:pPr>
          </w:p>
          <w:p w14:paraId="4A99B199" w14:textId="77777777" w:rsidR="002B13F7" w:rsidRDefault="002B13F7" w:rsidP="002B13F7">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Sabiedrisko pakalpojumu regulēšanas komisija</w:t>
            </w:r>
            <w:r>
              <w:rPr>
                <w:rFonts w:ascii="Times New Roman" w:hAnsi="Times New Roman" w:cs="Times New Roman"/>
                <w:color w:val="000000"/>
                <w:sz w:val="24"/>
                <w:szCs w:val="24"/>
              </w:rPr>
              <w:br/>
              <w:t>Ūnijas iela 45</w:t>
            </w:r>
            <w:r>
              <w:rPr>
                <w:rFonts w:ascii="Times New Roman" w:hAnsi="Times New Roman" w:cs="Times New Roman"/>
                <w:color w:val="000000"/>
                <w:sz w:val="24"/>
                <w:szCs w:val="24"/>
              </w:rPr>
              <w:br/>
              <w:t>Rīga, LV-1039</w:t>
            </w:r>
            <w:r>
              <w:rPr>
                <w:rFonts w:ascii="Times New Roman" w:hAnsi="Times New Roman" w:cs="Times New Roman"/>
                <w:color w:val="000000"/>
                <w:sz w:val="24"/>
                <w:szCs w:val="24"/>
              </w:rPr>
              <w:br/>
              <w:t>Latvija</w:t>
            </w:r>
          </w:p>
        </w:tc>
      </w:tr>
    </w:tbl>
    <w:p w14:paraId="5FCE671A" w14:textId="77777777" w:rsidR="002B13F7" w:rsidRDefault="002B13F7" w:rsidP="002B13F7">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2B13F7" w14:paraId="654FAE43" w14:textId="77777777" w:rsidTr="002B13F7">
        <w:tc>
          <w:tcPr>
            <w:tcW w:w="5000" w:type="pct"/>
          </w:tcPr>
          <w:p w14:paraId="0C564988" w14:textId="77777777" w:rsidR="002B13F7" w:rsidRDefault="002B13F7" w:rsidP="002B13F7">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sistēmas pieslēguma noteikumiem elektroenerģijas pārvades sistēmai</w:t>
            </w:r>
          </w:p>
        </w:tc>
      </w:tr>
    </w:tbl>
    <w:p w14:paraId="3CDD2199" w14:textId="77777777" w:rsidR="002B13F7" w:rsidRDefault="002B13F7" w:rsidP="002B13F7">
      <w:pPr>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2B13F7" w14:paraId="01DF5138" w14:textId="77777777" w:rsidTr="002B13F7">
        <w:tc>
          <w:tcPr>
            <w:tcW w:w="5000" w:type="pct"/>
          </w:tcPr>
          <w:p w14:paraId="0A5EBB95"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Akciju sabiedrība "Sadales tīkls" ir iepazinusies ar Sabiedrisko pakalpojumu regulēšanas komisijas (turpmāk - Regulators) 2021.gada 1.jūlija konsultāciju dokumentu par sistēmas pieslēguma noteikumiem elektroenerģijas pārvades sistēmai un sniedz savu viedokli par lēmuma projektu “Sistēmas pieslēguma noteikumi elektroenerģijas pārvades sistēmai” (turpmāk – Noteikumu projekts).</w:t>
            </w:r>
          </w:p>
          <w:p w14:paraId="6F4F042A"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r>
            <w:r>
              <w:rPr>
                <w:rFonts w:ascii="Times New Roman" w:hAnsi="Times New Roman" w:cs="Times New Roman"/>
                <w:b/>
                <w:bCs/>
                <w:color w:val="000000"/>
                <w:sz w:val="24"/>
                <w:szCs w:val="24"/>
              </w:rPr>
              <w:t>Par pieslēguma tehniskajiem parametriem</w:t>
            </w:r>
          </w:p>
          <w:p w14:paraId="455FB293"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p>
          <w:p w14:paraId="035279DD"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Noteikumu projekta 2.2 punkts skaidro terminu </w:t>
            </w:r>
            <w:r>
              <w:rPr>
                <w:rFonts w:ascii="Times New Roman" w:hAnsi="Times New Roman" w:cs="Times New Roman"/>
                <w:i/>
                <w:iCs/>
                <w:color w:val="000000"/>
                <w:sz w:val="24"/>
                <w:szCs w:val="24"/>
              </w:rPr>
              <w:t>pieslēguma tehniskie parametri</w:t>
            </w:r>
            <w:r>
              <w:rPr>
                <w:rFonts w:ascii="Times New Roman" w:hAnsi="Times New Roman" w:cs="Times New Roman"/>
                <w:color w:val="000000"/>
                <w:sz w:val="24"/>
                <w:szCs w:val="24"/>
              </w:rPr>
              <w:t xml:space="preserve"> - atļautā slodze, spriegums, pievienojumu skaits, piederības robeža. Skaidrojums šobrīd ir nepilnīgs, jo skaidrojumā ir uzskaitīti tehniskie parametri, kas ir tehniski interpretējami un arī vienlīdz neskaidri. Precīzam un detalizētam tehnisko parametru skaidrojumam ir būtiska nozīme, jo no tā ir atkarīga noteikumu piemērošanas pamatotība un nepieciešamība elektrosistēmas uzturēšanas un attīstības procesā.</w:t>
            </w:r>
          </w:p>
          <w:p w14:paraId="0E19B934"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Noteikumi turpmāk noteiks pieslēguma tehnisko parametru maiņas nosacījumus un kārtību. Pieslēguma process būs uzsākams ar lietotāja pieteikuma iesniegšanu pārvades sistēmas operatoram. Tātad, lai sāktu pieslēguma procesu, lietotājam ir jābūt pilnīgai informācijai par jau esošo sistēmas pieslēgumu tehniskiem parametriem atbilstoši Noteikumu projekta 2.2 punktam. Daļa no uzskaitītajiem tehniskajiem parametriem (atļautā slodze, pievienojumu skaits) līdz šim nav izmantoti AS "Sadales tīkls" un pārvades sistēmas operatora savstarpējās līgumattiecībās, nav oficiāli fiksēti savstarpējos līgumos. Līdz šim savstarpējā līguma fiksēta uzstādīto pārvades sistēmas transformatoru jauda un skaits. AS "Sadales tīkls" atbalsta ieceri uzskaitīt Noteikumu projektā konkrētus tehniskos parametrus, t.sk. Noteikumu projekta 2.2. punktā jau minētos, kuru maiņas gadījumā būtu piemērojami šie noteikumi, bet  </w:t>
            </w:r>
            <w:r>
              <w:rPr>
                <w:rFonts w:ascii="Times New Roman" w:hAnsi="Times New Roman" w:cs="Times New Roman"/>
                <w:b/>
                <w:bCs/>
                <w:color w:val="000000"/>
                <w:sz w:val="24"/>
                <w:szCs w:val="24"/>
              </w:rPr>
              <w:t>vienotas izpratnes nostiprināšanas nolūkos AS "Sadales tīkls" lūdz vismaz viedokļu apkopojuma dokumentā sniegt katra tehniskā parametra detalizētāku skaidrojumu un paredzēt vienotu kārtību, kā pārvades sistēmas lietotājiem līdz ar Noteikumu projekta apstiprināšanu tiek nodrošināta un padarīta saistoša informācija par esošo pieslēgumu tehniskajiem parametriem atbilstoši Noteikumu projekta 2.2 punktā ietvertajam uzskaitījumam.</w:t>
            </w:r>
            <w:r>
              <w:rPr>
                <w:rFonts w:ascii="Times New Roman" w:hAnsi="Times New Roman" w:cs="Times New Roman"/>
                <w:color w:val="000000"/>
                <w:sz w:val="24"/>
                <w:szCs w:val="24"/>
                <w:u w:val="single"/>
              </w:rPr>
              <w:t xml:space="preserve"> </w:t>
            </w:r>
          </w:p>
          <w:p w14:paraId="0BE2AFED"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Daži piemēri, kur var veidoties atšķirīga pieslēguma tehnisko parametru interpretācija: </w:t>
            </w:r>
          </w:p>
          <w:p w14:paraId="1283CBC6"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parametrs "atļautā slodze" var tik interpretēts kā šobrīd pieslēgumā uzstādīto transformatoru jaudu summa, kā viena uzstādītā (lielākā/mazākā) transformatora jauda, kā </w:t>
            </w:r>
            <w:r>
              <w:rPr>
                <w:rFonts w:ascii="Times New Roman" w:hAnsi="Times New Roman" w:cs="Times New Roman"/>
                <w:color w:val="000000"/>
                <w:sz w:val="24"/>
                <w:szCs w:val="24"/>
              </w:rPr>
              <w:lastRenderedPageBreak/>
              <w:t xml:space="preserve">pilnīgi neatkarīgs jaudas lielums, kas nav saistīts ar pieslēgumā uzstādīto transformatoru jaudām, </w:t>
            </w:r>
          </w:p>
          <w:p w14:paraId="652D3901"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parametrs "pievienojumu skaits" var tik interpretēts kā uzstādīto transformatoru skaits, kā 110 kV līniju pievienojumu skaits apakšstacijai, kā lietotāja izmantoto pievienojumu skaits transformatora 6-20 kV pusē u.t.t.. </w:t>
            </w:r>
          </w:p>
          <w:p w14:paraId="12F0BF8C"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Symbol" w:hAnsi="Symbol" w:cs="Symbol"/>
                <w:color w:val="000000"/>
                <w:sz w:val="24"/>
                <w:szCs w:val="24"/>
              </w:rPr>
              <w:t></w:t>
            </w:r>
            <w:r>
              <w:rPr>
                <w:rFonts w:ascii="Symbol" w:hAnsi="Symbol" w:cs="Symbol"/>
                <w:color w:val="000000"/>
                <w:sz w:val="24"/>
                <w:szCs w:val="24"/>
              </w:rPr>
              <w:tab/>
            </w:r>
            <w:r>
              <w:rPr>
                <w:rFonts w:ascii="Times New Roman" w:hAnsi="Times New Roman" w:cs="Times New Roman"/>
                <w:color w:val="000000"/>
                <w:sz w:val="24"/>
                <w:szCs w:val="24"/>
              </w:rPr>
              <w:t xml:space="preserve">parametrs "spriegums" var būt interpretēts kā </w:t>
            </w:r>
            <w:proofErr w:type="spellStart"/>
            <w:r>
              <w:rPr>
                <w:rFonts w:ascii="Times New Roman" w:hAnsi="Times New Roman" w:cs="Times New Roman"/>
                <w:color w:val="000000"/>
                <w:sz w:val="24"/>
                <w:szCs w:val="24"/>
              </w:rPr>
              <w:t>līgumspriegums</w:t>
            </w:r>
            <w:proofErr w:type="spellEnd"/>
            <w:r>
              <w:rPr>
                <w:rFonts w:ascii="Times New Roman" w:hAnsi="Times New Roman" w:cs="Times New Roman"/>
                <w:color w:val="000000"/>
                <w:sz w:val="24"/>
                <w:szCs w:val="24"/>
              </w:rPr>
              <w:t xml:space="preserve"> vai deklarētais spriegums uz elektroietaišu piederības robežas standarta LVS EN50160 izpratnē, kā sprieguma diapazons uz piederības robežas, kura ietvaros spriegums var mainīties, kā faktiskā iestatīta sprieguma vērtība  u.t.t., kā rezultātā skaidrojumam ir ļoti būtiska tehniska nozīme, jo piemēram sprieguma regulēšana notiek pēc SSO pieprasījuma ar sprieguma regulatoru, kas atrodas transformatora 110 kV pusē. </w:t>
            </w:r>
          </w:p>
          <w:p w14:paraId="38F10BB7"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p>
          <w:p w14:paraId="125B4B9E"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r>
            <w:r>
              <w:rPr>
                <w:rFonts w:ascii="Times New Roman" w:hAnsi="Times New Roman" w:cs="Times New Roman"/>
                <w:b/>
                <w:bCs/>
                <w:color w:val="000000"/>
                <w:sz w:val="24"/>
                <w:szCs w:val="24"/>
              </w:rPr>
              <w:t>Par tehniskajām prasībām</w:t>
            </w:r>
          </w:p>
          <w:p w14:paraId="5370A199"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p>
          <w:p w14:paraId="22F44313"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u w:val="single"/>
              </w:rPr>
            </w:pPr>
            <w:r>
              <w:rPr>
                <w:rFonts w:ascii="Times New Roman" w:hAnsi="Times New Roman" w:cs="Times New Roman"/>
                <w:color w:val="000000"/>
                <w:sz w:val="24"/>
                <w:szCs w:val="24"/>
              </w:rPr>
              <w:t>1)</w:t>
            </w:r>
            <w:r>
              <w:rPr>
                <w:rFonts w:ascii="Times New Roman" w:hAnsi="Times New Roman" w:cs="Times New Roman"/>
                <w:color w:val="000000"/>
                <w:sz w:val="24"/>
                <w:szCs w:val="24"/>
              </w:rPr>
              <w:tab/>
              <w:t xml:space="preserve">Atbilstoši Noteikumu projekta 2.6. punktam, tehniskās prasības ir pārvades sistēmas operatora izsniegts dokuments, kurā cita starpā pārvades sistēmas operators būtu tiesīgs noteikt elektroietaišu piederības robežu. </w:t>
            </w:r>
            <w:r>
              <w:rPr>
                <w:rFonts w:ascii="Times New Roman" w:hAnsi="Times New Roman" w:cs="Times New Roman"/>
                <w:b/>
                <w:bCs/>
                <w:color w:val="000000"/>
                <w:sz w:val="24"/>
                <w:szCs w:val="24"/>
              </w:rPr>
              <w:t>Par elektroietaišu piederības robežu pusēm ir savstarpēji jāvienojas pieslēguma līgumā un piederības robežu nedrīkstētu vienpusēji noteikt pārvades sistēmas operators, jo tā būtiski ietekmē arī lietotāja elektroietaišu tehnisko risinājumu un izbūves apjomu.</w:t>
            </w:r>
            <w:r>
              <w:rPr>
                <w:rFonts w:ascii="Times New Roman" w:hAnsi="Times New Roman" w:cs="Times New Roman"/>
                <w:color w:val="000000"/>
                <w:sz w:val="24"/>
                <w:szCs w:val="24"/>
              </w:rPr>
              <w:t xml:space="preserve"> Atbilstoši Ministru kabineta 2014.gada 21.janvāra noteikumu Nr.50 "Elektroenerģijas tirdzniecības un lietošanas noteikumi" 60.punktam, lietotājs pats pieņem lēmumu par nepieciešamo elektroapgādes drošumu, tas ir, nepieciešamību novērst elektroenerģijas piegādes pārtraukumus un savu elektroietaišu bojājumus, kas var rasties atsevišķu elektroapgādes sistēmas elementu bojājumu, remonta vai plānoto </w:t>
            </w:r>
            <w:proofErr w:type="spellStart"/>
            <w:r>
              <w:rPr>
                <w:rFonts w:ascii="Times New Roman" w:hAnsi="Times New Roman" w:cs="Times New Roman"/>
                <w:color w:val="000000"/>
                <w:sz w:val="24"/>
                <w:szCs w:val="24"/>
              </w:rPr>
              <w:t>atslēgumu</w:t>
            </w:r>
            <w:proofErr w:type="spellEnd"/>
            <w:r>
              <w:rPr>
                <w:rFonts w:ascii="Times New Roman" w:hAnsi="Times New Roman" w:cs="Times New Roman"/>
                <w:color w:val="000000"/>
                <w:sz w:val="24"/>
                <w:szCs w:val="24"/>
              </w:rPr>
              <w:t xml:space="preserve"> laikā, tātad pēc būtības izvēlēties arī pieslēguma tehnisko risinājumu, ja nepastāv citi ierobežojumi regulējumā. Ja atbilstoši tarifu piedāvājumam pārvades sistēmas operators šobrīd piedāvā vairākus pieslēguma tehniskos risinājumus – pieslēgumu 110 kV kopnēm, pieslēgumu 110 kV līnijām, pieslēgumu 110 kV transformatora 6-20 kV pusē, tad lietotājam būtu jābūt iespējām izvēlēties sev nepieciešamo pārvades sistēmas pieslēguma tehnisko risinājumu. Pēc līdzības ar Regulatora 03.06.2021 lēmumā Nr.1/8 "Sistēmas pieslēguma noteikumi elektroenerģijas sadales sistēmai" (turpmāk – Sadales sistēmas pieslēguma noteikumi) ietverto 2.10. punkta redakciju, </w:t>
            </w:r>
            <w:r>
              <w:rPr>
                <w:rFonts w:ascii="Times New Roman" w:hAnsi="Times New Roman" w:cs="Times New Roman"/>
                <w:color w:val="000000"/>
                <w:sz w:val="24"/>
                <w:szCs w:val="24"/>
                <w:u w:val="single"/>
              </w:rPr>
              <w:t xml:space="preserve">AS "Sadales tīkls" lūdz Noteikumu projekta 2.6. apakšpunktā vārdus </w:t>
            </w:r>
            <w:r>
              <w:rPr>
                <w:rFonts w:ascii="Times New Roman" w:hAnsi="Times New Roman" w:cs="Times New Roman"/>
                <w:i/>
                <w:iCs/>
                <w:color w:val="000000"/>
                <w:sz w:val="24"/>
                <w:szCs w:val="24"/>
                <w:u w:val="single"/>
              </w:rPr>
              <w:t>"piederības robeža</w:t>
            </w:r>
            <w:r>
              <w:rPr>
                <w:rFonts w:ascii="Times New Roman" w:hAnsi="Times New Roman" w:cs="Times New Roman"/>
                <w:color w:val="000000"/>
                <w:sz w:val="24"/>
                <w:szCs w:val="24"/>
                <w:u w:val="single"/>
              </w:rPr>
              <w:t xml:space="preserve">" aizstāt ar vārdiem </w:t>
            </w:r>
            <w:r>
              <w:rPr>
                <w:rFonts w:ascii="Times New Roman" w:hAnsi="Times New Roman" w:cs="Times New Roman"/>
                <w:i/>
                <w:iCs/>
                <w:color w:val="000000"/>
                <w:sz w:val="24"/>
                <w:szCs w:val="24"/>
                <w:u w:val="single"/>
              </w:rPr>
              <w:t>"iespējamā piederības robeža".</w:t>
            </w:r>
          </w:p>
          <w:p w14:paraId="0FBDF73D"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u w:val="single"/>
              </w:rPr>
            </w:pPr>
          </w:p>
          <w:p w14:paraId="05C28FA5"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2)</w:t>
            </w:r>
            <w:r>
              <w:rPr>
                <w:rFonts w:ascii="Times New Roman" w:hAnsi="Times New Roman" w:cs="Times New Roman"/>
                <w:color w:val="000000"/>
                <w:sz w:val="24"/>
                <w:szCs w:val="24"/>
              </w:rPr>
              <w:tab/>
              <w:t>Atbilstoši Noteikumu projekta 7.punktam, turpmāk tehniskās prasības pārvades sistēmas operatoram būs pienākums izsniegt 60 dienu laikā, iepriekšējo 20 dienu vietā. Konsultāciju dokumentā ietvertais skaidrojums, ka tehnisko specifiku dēļ sistēmas operatoram ir jāveic lielāks darbu apjoms, lai izsniegtu tehniskos noteikumus, jo pieslēgumi pārvades sistēmai tiek būvēti pie 110 kV tīkla, pēc būtības pamatojumu nesniedz un nav saskatāma darbu apjoma tieša sasaiste ar sprieguma līmeni. Būtu nepieciešama kvalitatīvāka analīze par iemesliem, kādēļ pārvades sistēmas operators līdz šim objektīvi nav iespējis iekļauties 20 dienu termiņā. Arī  Ministru kabineta 2014.gada 19.augusta noteikumu Nr.500 "Vispārīgie būvnoteikumi" 17.punkts nosaka, ka inženiertīklu īpašnieki pieslēgšanās (atslēgšanās) vai inženiertīklu šķērsošanas tehniskos noteikumus atbilstoši Būvniecības likuma 14. panta 1.</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daļai izdod bez maksas 20 dienu laikā pēc pieprasījuma saņemšanas, tātad nosaka vienādas prasības neatkarīgi no objekta veida vai sprieguma līmeņa. Sadales sistēmas operatoram ir noteikts pienākums tehniskos noteikumus izsniegt 20 dienu laikā vai šajā laikā ir jāinformē lietotājs par tehnisko prasību izsniegšanas termiņu, ja to sagatavošanai vajadzīgs ilgāks laiks. Lielas jaudas sadales sistēmas pieslēgumu realizācija ir saistīta arī ar jauna pārvades sistēmas pieslēguma ierīkošanu vai esošā pārvades sistēmas pieslēguma tehnisko parametru maiņu, tāpēc sadales sistēmas operatoram ir būtiski savlaicīgi saņemt </w:t>
            </w:r>
            <w:r>
              <w:rPr>
                <w:rFonts w:ascii="Times New Roman" w:hAnsi="Times New Roman" w:cs="Times New Roman"/>
                <w:color w:val="000000"/>
                <w:sz w:val="24"/>
                <w:szCs w:val="24"/>
              </w:rPr>
              <w:lastRenderedPageBreak/>
              <w:t xml:space="preserve">informāciju no pārvades sistēmas operatora ne ilgāk 20 dienu laikā, lai spētu izpildīt savas saistības pret galalietotāju. </w:t>
            </w:r>
            <w:r>
              <w:rPr>
                <w:rFonts w:ascii="Times New Roman" w:hAnsi="Times New Roman" w:cs="Times New Roman"/>
                <w:b/>
                <w:bCs/>
                <w:color w:val="000000"/>
                <w:sz w:val="24"/>
                <w:szCs w:val="24"/>
              </w:rPr>
              <w:t>Tehnisko noteikumu izsniegšanas termiņiem pārvades un sadales sistēmas pieslēguma noteikumos ir jābūt konceptuāli saskanīgiem, lai sadales sistēmas operators spētu pildīt savas sadales sistēmas pieslēguma noteikumos paredzētās saistības pret sadales sistēmas lietotājiem.</w:t>
            </w:r>
            <w:r>
              <w:rPr>
                <w:rFonts w:ascii="Times New Roman" w:hAnsi="Times New Roman" w:cs="Times New Roman"/>
                <w:color w:val="000000"/>
                <w:sz w:val="24"/>
                <w:szCs w:val="24"/>
              </w:rPr>
              <w:t xml:space="preserve"> Kontekstā ar ilgstošākā periodā īstenotajiem pasākumiem pieslēguma procesa (katras dienas) ilguma samazināšanai, t.sk. </w:t>
            </w:r>
            <w:proofErr w:type="spellStart"/>
            <w:r>
              <w:rPr>
                <w:rFonts w:ascii="Times New Roman" w:hAnsi="Times New Roman" w:cs="Times New Roman"/>
                <w:i/>
                <w:iCs/>
                <w:color w:val="000000"/>
                <w:sz w:val="24"/>
                <w:szCs w:val="24"/>
              </w:rPr>
              <w:t>Doing</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business</w:t>
            </w:r>
            <w:proofErr w:type="spellEnd"/>
            <w:r>
              <w:rPr>
                <w:rFonts w:ascii="Times New Roman" w:hAnsi="Times New Roman" w:cs="Times New Roman"/>
                <w:color w:val="000000"/>
                <w:sz w:val="24"/>
                <w:szCs w:val="24"/>
              </w:rPr>
              <w:t xml:space="preserve"> un citu klientu apmierinātības rādītāju uzlabošanai, pārvades sistēmas tehnisko prasību izsniegšanas termiņa pagarināšana ir solis pretējā virzienā un nemotivēs operatoru meklēt resursus pakalpojuma kvalitātes celšanai. Lai izmaiņas neietekmētu sadales sistēmas operatora saistību izpildi pret sadales sistēmas lietotājiem, </w:t>
            </w:r>
            <w:r>
              <w:rPr>
                <w:rFonts w:ascii="Times New Roman" w:hAnsi="Times New Roman" w:cs="Times New Roman"/>
                <w:color w:val="000000"/>
                <w:sz w:val="24"/>
                <w:szCs w:val="24"/>
                <w:u w:val="single"/>
              </w:rPr>
              <w:t>AS "Sadales tīkls" lūdz Noteikumu projekta 7.punktu izteikt šādā redakcijā:</w:t>
            </w:r>
          </w:p>
          <w:p w14:paraId="140D4E10"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"7. Sistēmas operators 60 dienu laikā no pieteikuma saņemšanas izsniedz sistēmas lietotājam tehniskās prasības, </w:t>
            </w:r>
            <w:r>
              <w:rPr>
                <w:rFonts w:ascii="Times New Roman" w:hAnsi="Times New Roman" w:cs="Times New Roman"/>
                <w:i/>
                <w:iCs/>
                <w:color w:val="000000"/>
                <w:sz w:val="24"/>
                <w:szCs w:val="24"/>
                <w:u w:val="single"/>
              </w:rPr>
              <w:t>bet vismaz</w:t>
            </w:r>
            <w:r>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u w:val="single"/>
              </w:rPr>
              <w:t xml:space="preserve">15 dienu laikā no pieteikuma saņemšanas sistēmas operators </w:t>
            </w:r>
            <w:proofErr w:type="spellStart"/>
            <w:r>
              <w:rPr>
                <w:rFonts w:ascii="Times New Roman" w:hAnsi="Times New Roman" w:cs="Times New Roman"/>
                <w:i/>
                <w:iCs/>
                <w:color w:val="000000"/>
                <w:sz w:val="24"/>
                <w:szCs w:val="24"/>
                <w:u w:val="single"/>
              </w:rPr>
              <w:t>rakstveidā</w:t>
            </w:r>
            <w:proofErr w:type="spellEnd"/>
            <w:r>
              <w:rPr>
                <w:rFonts w:ascii="Times New Roman" w:hAnsi="Times New Roman" w:cs="Times New Roman"/>
                <w:i/>
                <w:iCs/>
                <w:color w:val="000000"/>
                <w:sz w:val="24"/>
                <w:szCs w:val="24"/>
                <w:u w:val="single"/>
              </w:rPr>
              <w:t xml:space="preserve"> informē sistēmas lietotāju par tehnisko prasību izsniegšanas termiņu</w:t>
            </w:r>
            <w:r>
              <w:rPr>
                <w:rFonts w:ascii="Times New Roman" w:hAnsi="Times New Roman" w:cs="Times New Roman"/>
                <w:i/>
                <w:iCs/>
                <w:color w:val="000000"/>
                <w:sz w:val="24"/>
                <w:szCs w:val="24"/>
              </w:rPr>
              <w:t xml:space="preserve">. Ja tehnisko prasību izstrāde ir komplicēta un to sagatavošanai nepieciešams ilgāks laika periods vai lietotājs pieteikumā nav iesniedzis visu nepieciešamo informāciju, </w:t>
            </w:r>
            <w:r>
              <w:rPr>
                <w:rFonts w:ascii="Times New Roman" w:hAnsi="Times New Roman" w:cs="Times New Roman"/>
                <w:i/>
                <w:iCs/>
                <w:color w:val="000000"/>
                <w:sz w:val="24"/>
                <w:szCs w:val="24"/>
                <w:u w:val="single"/>
              </w:rPr>
              <w:t>sistēmas operators var pagarināt tehnisko prasību izsniegšanas termiņu</w:t>
            </w:r>
            <w:r>
              <w:rPr>
                <w:rFonts w:ascii="Times New Roman" w:hAnsi="Times New Roman" w:cs="Times New Roman"/>
                <w:i/>
                <w:iCs/>
                <w:color w:val="000000"/>
                <w:sz w:val="24"/>
                <w:szCs w:val="24"/>
              </w:rPr>
              <w:t xml:space="preserve">. Vienlaikus ar tehniskajām prasībām sistēmas operators </w:t>
            </w:r>
            <w:proofErr w:type="spellStart"/>
            <w:r>
              <w:rPr>
                <w:rFonts w:ascii="Times New Roman" w:hAnsi="Times New Roman" w:cs="Times New Roman"/>
                <w:i/>
                <w:iCs/>
                <w:color w:val="000000"/>
                <w:sz w:val="24"/>
                <w:szCs w:val="24"/>
              </w:rPr>
              <w:t>rakstveidā</w:t>
            </w:r>
            <w:proofErr w:type="spellEnd"/>
            <w:r>
              <w:rPr>
                <w:rFonts w:ascii="Times New Roman" w:hAnsi="Times New Roman" w:cs="Times New Roman"/>
                <w:i/>
                <w:iCs/>
                <w:color w:val="000000"/>
                <w:sz w:val="24"/>
                <w:szCs w:val="24"/>
              </w:rPr>
              <w:t xml:space="preserve"> sniedz sistēmas lietotājam informāciju par aptuvenajām pieslēguma ierīkošanas izmaksām un informē sistēmas lietotāju par turpmākajām pieslēguma nodrošināšanai nepieciešamajām darbībām. ".</w:t>
            </w:r>
          </w:p>
          <w:p w14:paraId="5D787A3A"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rPr>
            </w:pPr>
          </w:p>
          <w:p w14:paraId="71F5E8AC"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r>
            <w:r>
              <w:rPr>
                <w:rFonts w:ascii="Times New Roman" w:hAnsi="Times New Roman" w:cs="Times New Roman"/>
                <w:b/>
                <w:bCs/>
                <w:color w:val="000000"/>
                <w:sz w:val="24"/>
                <w:szCs w:val="24"/>
              </w:rPr>
              <w:t>Par pieslēguma maksu</w:t>
            </w:r>
          </w:p>
          <w:p w14:paraId="01EBF404"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p>
          <w:p w14:paraId="53FCF5B9"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Atbilstoši Noteikumu projekta 1., 19. un 21.punktam, noteikumi turpmāk būs piemērojami gan pilnībā jauna pārvades sistēmas pieslēguma ierīkošanas gadījumā, gan veicot esoša pieslēguma tehnisko parametru (atļautā slodze, spriegums, pievienojumu skaits, piederības robeža) maiņu. </w:t>
            </w:r>
          </w:p>
          <w:p w14:paraId="2A6BA3DC"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Noteikumu projekta 19.punkta redakcija padara vispārinātākus pieslēguma maksas noteikšanas nosacījumus un paredz ietvert jaunu pamatoto izmaksu komponenti – procesa administrēšanas izmaksas. Punkta redakcija vairs neietver skaidrojumu, ka pamatotās izmaksas ietver tikai ar elektrotīkla daļas ierīkošanu saistītās izmaksas, līdz ar to </w:t>
            </w:r>
            <w:r>
              <w:rPr>
                <w:rFonts w:ascii="Times New Roman" w:hAnsi="Times New Roman" w:cs="Times New Roman"/>
                <w:b/>
                <w:bCs/>
                <w:color w:val="000000"/>
                <w:sz w:val="24"/>
                <w:szCs w:val="24"/>
              </w:rPr>
              <w:t>maksas noteikšanas principi sistēmas lietotājam kļūst neskaidrāki, pieslēguma maksa neprognozējamāka</w:t>
            </w:r>
            <w:r>
              <w:rPr>
                <w:rFonts w:ascii="Times New Roman" w:hAnsi="Times New Roman" w:cs="Times New Roman"/>
                <w:color w:val="000000"/>
                <w:sz w:val="24"/>
                <w:szCs w:val="24"/>
              </w:rPr>
              <w:t xml:space="preserve">, kas ir pretrunā ar konsultāciju dokumentā pausto mērķi nodrošināt saprotamāku pieslēguma ierīkošanas procesu. </w:t>
            </w:r>
          </w:p>
          <w:p w14:paraId="7E79FDBE"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Lai neradītu papildus barjeras lietotājam uz sistēmas darbības efektivitātes uzlabošanu vērstu pārvades sistēmas pieslēguma procesu īstenošanai</w:t>
            </w:r>
            <w:r>
              <w:rPr>
                <w:rFonts w:ascii="Times New Roman" w:hAnsi="Times New Roman" w:cs="Times New Roman"/>
                <w:color w:val="000000"/>
                <w:sz w:val="24"/>
                <w:szCs w:val="24"/>
              </w:rPr>
              <w:t>, AS "Sadales tīkls" konceptuāli ierosina:</w:t>
            </w:r>
          </w:p>
          <w:p w14:paraId="29086586"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Nodalīt uz pārvades sistēmas jaudu palielināšanu un sistēmas jaudu optimizēšanu vērstos pieslēgumu izmaiņu  gadījumus;</w:t>
            </w:r>
          </w:p>
          <w:p w14:paraId="422B9720"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Noteikumu projekta 19.punkta nosacījumus, t.sk. par administrēšanas izmaksu iekļaušanu pieslēguma maksā, attiecināt tikai uz jaunu pieslēgumu ierīkošanu, atļautās slodzes palielināšanu, pievienojuma skaita palielināšanu un citām aktivitātēm, kas saistītas ar jaunas pārvades sistēmas infrastruktūras ierīkošanu;</w:t>
            </w:r>
          </w:p>
          <w:p w14:paraId="1D51917A"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Times New Roman" w:hAnsi="Times New Roman" w:cs="Times New Roman"/>
                <w:color w:val="000000"/>
                <w:sz w:val="24"/>
                <w:szCs w:val="24"/>
              </w:rPr>
              <w:tab/>
              <w:t>Pēc līdzības ar Sadales sistēmas pieslēguma noteikumiem, noteikt, ka pārvades sistēmas operators sedz visas ar pieslēguma atļautās slodzes un pievienojumu skaita samazināšanu saistītās izmaksas.</w:t>
            </w:r>
          </w:p>
          <w:p w14:paraId="5D46A98B"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"Sadales tīkls" ieskatā </w:t>
            </w:r>
            <w:r>
              <w:rPr>
                <w:rFonts w:ascii="Times New Roman" w:hAnsi="Times New Roman" w:cs="Times New Roman"/>
                <w:b/>
                <w:bCs/>
                <w:color w:val="000000"/>
                <w:sz w:val="24"/>
                <w:szCs w:val="24"/>
              </w:rPr>
              <w:t>visas uz sistēmas efektivitātes uzlabošanu vērstas izmaksas par pārvades sistēmā uzstādītās jaudas/infrastruktūras apjoma samazināšanu būtu jāsedz pārvades sistēmas operatoram, tādā veidā pārvades sistēmas operators būtu motivēts visefektīvākajā veidā organizēt sistēmas darbības efektivitātes uzlabošanu, vienlaicīgi noņemot šobrīd sistēmas lietotājam uzlikto slogu rosināt un finansēt pārvades sistēmas optimizāciju.</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Tādā veidā tiktu nodrošināti vienlīdzīgi pamatprincipi sadales un </w:t>
            </w:r>
            <w:r>
              <w:rPr>
                <w:rFonts w:ascii="Times New Roman" w:hAnsi="Times New Roman" w:cs="Times New Roman"/>
                <w:b/>
                <w:bCs/>
                <w:color w:val="000000"/>
                <w:sz w:val="24"/>
                <w:szCs w:val="24"/>
              </w:rPr>
              <w:lastRenderedPageBreak/>
              <w:t>pārvades sistēmās</w:t>
            </w:r>
            <w:r>
              <w:rPr>
                <w:rFonts w:ascii="Times New Roman" w:hAnsi="Times New Roman" w:cs="Times New Roman"/>
                <w:color w:val="000000"/>
                <w:sz w:val="24"/>
                <w:szCs w:val="24"/>
              </w:rPr>
              <w:t xml:space="preserve"> – sistēmas operators sedz izmaksas, kas saistītas ar sistēmas optimizāciju, t.sk. izmaksas par turpmāk pieslēgumu nodrošināšanai vairs neizmantojamās infrastruktūras likvidēšanu, savukārt lietotājs sedz visas pamatotās izmaksas, kas saistītas ar jaunu elektrotīkla daļu un iekārtu izbūvi, pārbūvi, ierīkošanu, uzstādīšanu, t.sk. papildus izbūvējamo infrastruktūru slodzes samazinājuma gadījumos, kas nepieciešamas turpmākai pieslēguma nodrošināšanai. </w:t>
            </w:r>
          </w:p>
          <w:p w14:paraId="7AE32A7C"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p>
          <w:p w14:paraId="77E1D3F3"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Pieslēguma noteikumi ir cieši saistīti ar sistēmas pakalpoju tarifu plānošanas un piemērošanas  principiem. Būtiski palielinot fiksētās (jaudas) komponentes īpatsvaru sistēmas pakalpojumu tarifos, pārvades sistēmas operators ir devis skaidru signālu sistēmas lietotājiem optimizēt nepieciešamās pārvades sistēmas jaudas. </w:t>
            </w:r>
            <w:r>
              <w:rPr>
                <w:rFonts w:ascii="Times New Roman" w:hAnsi="Times New Roman" w:cs="Times New Roman"/>
                <w:b/>
                <w:bCs/>
                <w:color w:val="000000"/>
                <w:sz w:val="24"/>
                <w:szCs w:val="24"/>
              </w:rPr>
              <w:t>Šobrīd nepastāv reāls risinājums, kā sistēmas lietotājam bez nesamērīga finansiālā sloga sniegt atbildes signālu par nepieciešamo jaudu apmēru pieslēgumā un lietot sev nepieciešamo jaudu.</w:t>
            </w:r>
            <w:r>
              <w:rPr>
                <w:rFonts w:ascii="Times New Roman" w:hAnsi="Times New Roman" w:cs="Times New Roman"/>
                <w:color w:val="000000"/>
                <w:sz w:val="24"/>
                <w:szCs w:val="24"/>
              </w:rPr>
              <w:t xml:space="preserve"> Sistēmas lietotāja pieteikums jaudas samazinājumam vai atteikumam no uzstādītā transformatora tiek uzskatīts par būvniecības ierosinājumu, lai gan tas nav bijis lietotāja mērķis. Tūlītēja uzstādīto jaudu pārbūve pēc sistēmas lietotāja pieteikuma saņemšanas iespējams nav efektīvākais risinājums kā īstenot pārvades sistēmas jaudu optimizāciju, nevērtējot situāciju plašākā sistēmas kontekstā. Lēmumu par to, kurā brīdī un kādā veidā visefektīvāk organizēt uzstādīto lieko jaudu samazinājumu un turpmāk neizmantojamās infrastruktūras likvidēšanu, pārvietošanu vai citu risinājumu būtu jāpieņem pārvades sistēmas operatoram. Lai to īstenotu, pārvades sistēmas pakalpojuma maksa nedrīkst būt sasaistīta ar faktiski uzstādītajām transformatoru jaudām.</w:t>
            </w:r>
          </w:p>
          <w:p w14:paraId="2D8D09B0"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p>
          <w:p w14:paraId="16B97AE2"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Lai risinātu iepriekš aprakstīto problemātiku, AS "Sadales tīkls" ierosina:</w:t>
            </w:r>
          </w:p>
          <w:p w14:paraId="64ABF0B0"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t>Izteikt noteikumu 19.punktu šādā redakcijā:</w:t>
            </w:r>
          </w:p>
          <w:p w14:paraId="333D7FCE"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19. Visas pieslēguma ierīkošanas pamatotās izmaksas</w:t>
            </w:r>
            <w:r>
              <w:rPr>
                <w:rFonts w:ascii="Times New Roman" w:hAnsi="Times New Roman" w:cs="Times New Roman"/>
                <w:i/>
                <w:iCs/>
                <w:color w:val="000000"/>
                <w:sz w:val="24"/>
                <w:szCs w:val="24"/>
                <w:u w:val="single"/>
              </w:rPr>
              <w:t>,</w:t>
            </w:r>
            <w:r>
              <w:rPr>
                <w:rFonts w:ascii="Helv" w:hAnsi="Helv" w:cs="Helv"/>
                <w:i/>
                <w:iCs/>
                <w:color w:val="000000"/>
                <w:u w:val="single"/>
              </w:rPr>
              <w:t xml:space="preserve"> </w:t>
            </w:r>
            <w:r>
              <w:rPr>
                <w:rFonts w:ascii="Times New Roman" w:hAnsi="Times New Roman" w:cs="Times New Roman"/>
                <w:i/>
                <w:iCs/>
                <w:color w:val="000000"/>
                <w:sz w:val="24"/>
                <w:szCs w:val="24"/>
                <w:u w:val="single"/>
              </w:rPr>
              <w:t>kas saistītas ar jaunas elektrotīkla daļas ierīkošanu attiecīgā pieslēguma nodrošināšanai</w:t>
            </w:r>
            <w:r>
              <w:rPr>
                <w:rFonts w:ascii="Times New Roman" w:hAnsi="Times New Roman" w:cs="Times New Roman"/>
                <w:i/>
                <w:iCs/>
                <w:color w:val="000000"/>
                <w:sz w:val="24"/>
                <w:szCs w:val="24"/>
              </w:rPr>
              <w:t>,  sedz sistēmas lietotājs</w:t>
            </w:r>
            <w:r>
              <w:rPr>
                <w:rFonts w:ascii="Times New Roman" w:hAnsi="Times New Roman" w:cs="Times New Roman"/>
                <w:i/>
                <w:iCs/>
                <w:color w:val="000000"/>
                <w:sz w:val="24"/>
                <w:szCs w:val="24"/>
                <w:u w:val="single"/>
              </w:rPr>
              <w:t>. Ierīkojot jaunu sistēmas pieslēgumu vai veicot atļautās slodzes palielināšanu, sistēmas lietotājs sedz arī</w:t>
            </w:r>
            <w:r>
              <w:rPr>
                <w:rFonts w:ascii="Times New Roman" w:hAnsi="Times New Roman" w:cs="Times New Roman"/>
                <w:i/>
                <w:iCs/>
                <w:color w:val="000000"/>
                <w:sz w:val="24"/>
                <w:szCs w:val="24"/>
              </w:rPr>
              <w:t xml:space="preserve"> pieslēguma ierīkošanas (nodrošināšanas) procesa administrēšanas izmaksas</w:t>
            </w:r>
            <w:r>
              <w:rPr>
                <w:rFonts w:ascii="Times New Roman" w:hAnsi="Times New Roman" w:cs="Times New Roman"/>
                <w:color w:val="000000"/>
                <w:sz w:val="24"/>
                <w:szCs w:val="24"/>
              </w:rPr>
              <w:t xml:space="preserve">.". </w:t>
            </w:r>
          </w:p>
          <w:p w14:paraId="595CE2F1"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p>
          <w:p w14:paraId="5B7B20F9"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t>Papildināt noteikumus ar jaunu punktu aiz Noteikumu projekta 19.punkta:</w:t>
            </w:r>
          </w:p>
          <w:p w14:paraId="1DACE01A"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u w:val="single"/>
              </w:rPr>
            </w:pPr>
            <w:r>
              <w:rPr>
                <w:rFonts w:ascii="Times New Roman" w:hAnsi="Times New Roman" w:cs="Times New Roman"/>
                <w:i/>
                <w:iCs/>
                <w:color w:val="000000"/>
                <w:sz w:val="24"/>
                <w:szCs w:val="24"/>
                <w:u w:val="single"/>
              </w:rPr>
              <w:t xml:space="preserve">"Sistēmas operators sedz izmaksas, kas saistītas sistēmas atļautās slodzes samazināšanu un turpmāk pieslēguma nodrošināšanai neizmantojamās elektrotīkla daļas likvidēšanu.". </w:t>
            </w:r>
          </w:p>
          <w:p w14:paraId="0C1E11A7"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u w:val="single"/>
              </w:rPr>
            </w:pPr>
          </w:p>
          <w:p w14:paraId="7897DCBA"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i/>
                <w:iCs/>
                <w:color w:val="000000"/>
                <w:sz w:val="24"/>
                <w:szCs w:val="24"/>
                <w:u w:val="single"/>
              </w:rPr>
            </w:pPr>
          </w:p>
          <w:p w14:paraId="74FBBA16"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IV.</w:t>
            </w:r>
            <w:r>
              <w:rPr>
                <w:rFonts w:ascii="Times New Roman" w:hAnsi="Times New Roman" w:cs="Times New Roman"/>
                <w:color w:val="000000"/>
                <w:sz w:val="24"/>
                <w:szCs w:val="24"/>
              </w:rPr>
              <w:tab/>
            </w:r>
            <w:r>
              <w:rPr>
                <w:rFonts w:ascii="Times New Roman" w:hAnsi="Times New Roman" w:cs="Times New Roman"/>
                <w:b/>
                <w:bCs/>
                <w:color w:val="000000"/>
                <w:sz w:val="24"/>
                <w:szCs w:val="24"/>
              </w:rPr>
              <w:t>Par pārvades sistēmas pieslēgumu spriegumu</w:t>
            </w:r>
          </w:p>
          <w:p w14:paraId="781EDB32"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p>
          <w:p w14:paraId="52CBFB15"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Atbilstoši Elektroenerģijas tirgus likuma 12.pantam pārvades sistēmas operatora pienākumi ir nodrošināt pārvades sistēmas pakalpojumus, balansēšanu un stabilitāti pārvades sistēmā, elektroapgādes drošumu, elektroenerģijas ražošanas un starpvalstu savienojumu jaudu rezervēšanu un enerģijas plūsmu vadību, pārvades sistēmas sastrēgumu un pārslodzes novēršanu,</w:t>
            </w:r>
            <w:r>
              <w:rPr>
                <w:rFonts w:ascii="Helv" w:hAnsi="Helv" w:cs="Helv"/>
                <w:color w:val="000000"/>
              </w:rPr>
              <w:t xml:space="preserve"> </w:t>
            </w:r>
            <w:r>
              <w:rPr>
                <w:rFonts w:ascii="Times New Roman" w:hAnsi="Times New Roman" w:cs="Times New Roman"/>
                <w:color w:val="000000"/>
                <w:sz w:val="24"/>
                <w:szCs w:val="24"/>
              </w:rPr>
              <w:t xml:space="preserve">par jaunu pārvades infrastruktūras objektu plānošanu, būvniecību un nodošanu ekspluatācijā. Atbilstoši Elektroenerģijas tirgus likuma 10.pantam, pārvades sistēma ietver savstarpēji savienotus tīklus un iekārtas, tajā skaitā starpvalstu savienojumus, kuru spriegums ir 110 un vairāk kilovoltu un kuri tiek izmantoti pārvadei līdz attiecīgajai sadales sistēmai vai lietotājiem. Savukārt elektroenerģijas sadale sistēma, saskaņā ar Elektroenerģijas tirgus likuma 17.pantu, ietver vidēja un zema sprieguma sadales tīklus un iekārtas, kuras izmanto elektroenerģijas piegādē lietotājiem un kurās spriegums ir zemāks par 110 kilovoltiem. Tātad šķietami ir nodalīti sprieguma līmeņi, kuros savu darbību attīsta pārvades un sadales sistēmas operatori, tomēr praktiski </w:t>
            </w:r>
            <w:r>
              <w:rPr>
                <w:rFonts w:ascii="Times New Roman" w:hAnsi="Times New Roman" w:cs="Times New Roman"/>
                <w:b/>
                <w:bCs/>
                <w:color w:val="000000"/>
                <w:sz w:val="24"/>
                <w:szCs w:val="24"/>
              </w:rPr>
              <w:t xml:space="preserve">pie spēkā esošā regulējuma, pārvades sistēmas operators un </w:t>
            </w:r>
            <w:r>
              <w:rPr>
                <w:rFonts w:ascii="Times New Roman" w:hAnsi="Times New Roman" w:cs="Times New Roman"/>
                <w:b/>
                <w:bCs/>
                <w:color w:val="000000"/>
                <w:sz w:val="24"/>
                <w:szCs w:val="24"/>
              </w:rPr>
              <w:lastRenderedPageBreak/>
              <w:t xml:space="preserve">sadales sistēmas operators faktiski ir konkurējošās pozīcijās attiecībā uz sistēmas pieslēgumu nodrošināšanu sistēmas galalietotājiem 6-20 kV sprieguma līmenī, kas ir absolūti neloģiska situācija un pie kuras nav iespējams izpildīt Enerģētikas likuma 8.pantā energoapgādes komersantiem noteikto pienākumu plānveidīgi savu darbību un piedalīties koordinētas un efektīvas energoapgādes plānošanā, nodrošināšanā un attīstīšanā. </w:t>
            </w:r>
            <w:r>
              <w:rPr>
                <w:rFonts w:ascii="Times New Roman" w:hAnsi="Times New Roman" w:cs="Times New Roman"/>
                <w:color w:val="000000"/>
                <w:sz w:val="24"/>
                <w:szCs w:val="24"/>
              </w:rPr>
              <w:t>Lai risinātu problemātisko situāciju,</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AS "Sadales tīkls" ir jau sniedzis savus priekšlikumus Ekonomikas ministrijai Elektroenerģijas tirgus likuma 10.panta precizēšanai, kuru mērķis bija noteikt, ka galalietotāji (neierobežotu sistēmas operatorus) pārvades sistēmai ir tiesīgi pieslēgties tikai 110 kV un augstāka sprieguma līmenī, tomēr jau ir saņemts arī AS "Augstsprieguma tīkls" viedoklis, ka šāds risinājums ierobežos pārvades sistēmas operatora iespējas nodrošināt pieslēgumu pie transformatora vidējā sprieguma </w:t>
            </w:r>
            <w:proofErr w:type="spellStart"/>
            <w:r>
              <w:rPr>
                <w:rFonts w:ascii="Times New Roman" w:hAnsi="Times New Roman" w:cs="Times New Roman"/>
                <w:color w:val="000000"/>
                <w:sz w:val="24"/>
                <w:szCs w:val="24"/>
              </w:rPr>
              <w:t>izvadiem</w:t>
            </w:r>
            <w:proofErr w:type="spellEnd"/>
            <w:r>
              <w:rPr>
                <w:rFonts w:ascii="Times New Roman" w:hAnsi="Times New Roman" w:cs="Times New Roman"/>
                <w:color w:val="000000"/>
                <w:sz w:val="24"/>
                <w:szCs w:val="24"/>
              </w:rPr>
              <w:t>.</w:t>
            </w:r>
          </w:p>
          <w:p w14:paraId="766C4073"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Lai nodrošinātu iespējas veidot koordinētu un efektīvu energoapgādes sistēmu, AS "Sadales tīkls" lūdz Regulatoru papildināt noteikumu projektu ar jaunu punktu sadaļā "I. Vispārīgie jautājumi" šādā redakcijā:</w:t>
            </w:r>
          </w:p>
          <w:p w14:paraId="31F1643B"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i/>
                <w:iCs/>
                <w:color w:val="000000"/>
                <w:sz w:val="24"/>
                <w:szCs w:val="24"/>
                <w:u w:val="single"/>
              </w:rPr>
            </w:pPr>
            <w:r>
              <w:rPr>
                <w:rFonts w:ascii="Times New Roman" w:hAnsi="Times New Roman" w:cs="Times New Roman"/>
                <w:b/>
                <w:bCs/>
                <w:i/>
                <w:iCs/>
                <w:color w:val="000000"/>
                <w:sz w:val="24"/>
                <w:szCs w:val="24"/>
                <w:u w:val="single"/>
              </w:rPr>
              <w:t>"Jaunu galalietotāja pieslēgumu elektroenerģijas pārvades sistēmai ierīko ar elektroietaišu piederības robežu 110 kV vai augstāka sprieguma pakāpē".</w:t>
            </w:r>
          </w:p>
          <w:p w14:paraId="149EE701"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i/>
                <w:iCs/>
                <w:color w:val="000000"/>
                <w:sz w:val="24"/>
                <w:szCs w:val="24"/>
                <w:u w:val="single"/>
              </w:rPr>
            </w:pPr>
          </w:p>
          <w:p w14:paraId="2F10D45A"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i/>
                <w:iCs/>
                <w:color w:val="000000"/>
                <w:sz w:val="24"/>
                <w:szCs w:val="24"/>
                <w:u w:val="single"/>
              </w:rPr>
            </w:pPr>
          </w:p>
          <w:p w14:paraId="33AF4302"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V.</w:t>
            </w:r>
            <w:r>
              <w:rPr>
                <w:rFonts w:ascii="Times New Roman" w:hAnsi="Times New Roman" w:cs="Times New Roman"/>
                <w:color w:val="000000"/>
                <w:sz w:val="24"/>
                <w:szCs w:val="24"/>
              </w:rPr>
              <w:tab/>
            </w:r>
            <w:r>
              <w:rPr>
                <w:rFonts w:ascii="Times New Roman" w:hAnsi="Times New Roman" w:cs="Times New Roman"/>
                <w:b/>
                <w:bCs/>
                <w:color w:val="000000"/>
                <w:sz w:val="24"/>
                <w:szCs w:val="24"/>
              </w:rPr>
              <w:t>Redakcionāli priekšlikumi</w:t>
            </w:r>
          </w:p>
          <w:p w14:paraId="65AA740C"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p>
          <w:p w14:paraId="5732E5C5"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Saskaņā ar Noteikumu projekta 1.punktu, noteikumi nosaka jauna elektroenerģijas sistēmas pieslēguma ierīkošanas un esošā pieslēguma tehnisko parametru maiņas noteikumus. Noteikumu projekta 21.punkts šķietami dublē Noteikumu projekta 1.punktu, atkārtoti nosakot, ka pieslēgumu tehnisko parametru maiņu nodrošina šajos noteikumos noteiktā kārtībā. </w:t>
            </w:r>
            <w:r>
              <w:rPr>
                <w:rFonts w:ascii="Times New Roman" w:hAnsi="Times New Roman" w:cs="Times New Roman"/>
                <w:b/>
                <w:bCs/>
                <w:color w:val="000000"/>
                <w:sz w:val="24"/>
                <w:szCs w:val="24"/>
              </w:rPr>
              <w:t>AS "Sadales tīkls" ierosina izslēgt Noteikumu projekta 21.punktu.</w:t>
            </w:r>
          </w:p>
          <w:p w14:paraId="56A5A89B"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b/>
                <w:bCs/>
                <w:color w:val="000000"/>
                <w:sz w:val="24"/>
                <w:szCs w:val="24"/>
              </w:rPr>
            </w:pPr>
          </w:p>
          <w:p w14:paraId="2C422DAF" w14:textId="77777777" w:rsidR="002B13F7" w:rsidRDefault="002B13F7" w:rsidP="002B13F7">
            <w:pPr>
              <w:keepLine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Noteikumu projekta 15.punkts ietver nosacījumus, kas neattiecas uz sistēmas pieslēguma ierīkošanas procesu, jo nosaka darbības pēc pieslēguma līguma noteikumu izpildes, tāpēc varētu būt ārpus Elektroenerģijas tirgus likuma 8.panta otrās daļas un 9.panta otrās daļas deleģējuma. </w:t>
            </w:r>
            <w:r>
              <w:rPr>
                <w:rFonts w:ascii="Times New Roman" w:hAnsi="Times New Roman" w:cs="Times New Roman"/>
                <w:b/>
                <w:bCs/>
                <w:color w:val="000000"/>
                <w:sz w:val="24"/>
                <w:szCs w:val="24"/>
              </w:rPr>
              <w:t>AS "Sadales tīkls" lūdz Regulatoru viedokļu apkopojuma dokumentā sniegt juridiski argumentētu skaidrojumu par pamatojumu Noteikumu projekta 15. punkta iekļaušanai</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redakcijā</w:t>
            </w:r>
            <w:r>
              <w:rPr>
                <w:rFonts w:ascii="Times New Roman" w:hAnsi="Times New Roman" w:cs="Times New Roman"/>
                <w:color w:val="000000"/>
                <w:sz w:val="24"/>
                <w:szCs w:val="24"/>
              </w:rPr>
              <w:t>.</w:t>
            </w:r>
          </w:p>
        </w:tc>
      </w:tr>
    </w:tbl>
    <w:p w14:paraId="6F3B7F1F" w14:textId="77777777" w:rsidR="002B13F7" w:rsidRDefault="002B13F7" w:rsidP="002B13F7">
      <w:pPr>
        <w:autoSpaceDE w:val="0"/>
        <w:autoSpaceDN w:val="0"/>
        <w:adjustRightInd w:val="0"/>
        <w:spacing w:after="0" w:line="240" w:lineRule="auto"/>
        <w:rPr>
          <w:rFonts w:ascii="Times New Roman" w:hAnsi="Times New Roman" w:cs="Times New Roman"/>
          <w:color w:val="000000"/>
          <w:sz w:val="24"/>
          <w:szCs w:val="24"/>
        </w:rPr>
      </w:pPr>
    </w:p>
    <w:p w14:paraId="5888C7CA" w14:textId="77777777" w:rsidR="002B13F7" w:rsidRDefault="002B13F7" w:rsidP="002B13F7">
      <w:pPr>
        <w:autoSpaceDE w:val="0"/>
        <w:autoSpaceDN w:val="0"/>
        <w:adjustRightInd w:val="0"/>
        <w:spacing w:after="0" w:line="240" w:lineRule="auto"/>
        <w:rPr>
          <w:rFonts w:ascii="Times New Roman" w:hAnsi="Times New Roman" w:cs="Times New Roman"/>
          <w:color w:val="000000"/>
          <w:sz w:val="24"/>
          <w:szCs w:val="24"/>
        </w:rPr>
      </w:pPr>
    </w:p>
    <w:p w14:paraId="12658726" w14:textId="77777777" w:rsidR="002B13F7" w:rsidRDefault="002B13F7" w:rsidP="002B13F7">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14:paraId="5BFE6C75" w14:textId="77777777" w:rsidR="002B13F7" w:rsidRDefault="002B13F7" w:rsidP="002B13F7">
      <w:pPr>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A0" w:firstRow="1" w:lastRow="0" w:firstColumn="1" w:lastColumn="0" w:noHBand="0" w:noVBand="0"/>
      </w:tblPr>
      <w:tblGrid>
        <w:gridCol w:w="4386"/>
        <w:gridCol w:w="276"/>
        <w:gridCol w:w="4409"/>
      </w:tblGrid>
      <w:tr w:rsidR="002B13F7" w14:paraId="353009A9" w14:textId="77777777" w:rsidTr="002B13F7">
        <w:tc>
          <w:tcPr>
            <w:tcW w:w="2418" w:type="pct"/>
          </w:tcPr>
          <w:p w14:paraId="4A93B26C" w14:textId="77777777" w:rsidR="002B13F7" w:rsidRDefault="002B13F7" w:rsidP="002B13F7">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Finanšu direktore</w:t>
            </w:r>
            <w:r>
              <w:rPr>
                <w:rFonts w:ascii="Times New Roman" w:hAnsi="Times New Roman" w:cs="Times New Roman"/>
                <w:color w:val="000000"/>
                <w:sz w:val="24"/>
                <w:szCs w:val="24"/>
              </w:rPr>
              <w:br/>
              <w:t>Attīstības direktors</w:t>
            </w:r>
          </w:p>
        </w:tc>
        <w:tc>
          <w:tcPr>
            <w:tcW w:w="152" w:type="pct"/>
          </w:tcPr>
          <w:p w14:paraId="1F30C4FC" w14:textId="77777777" w:rsidR="002B13F7" w:rsidRDefault="002B13F7" w:rsidP="002B13F7">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30" w:type="pct"/>
          </w:tcPr>
          <w:p w14:paraId="2D01B2AB" w14:textId="77777777" w:rsidR="002B13F7" w:rsidRDefault="002B13F7" w:rsidP="002B13F7">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Kristīne Sarkane</w:t>
            </w:r>
            <w:r>
              <w:rPr>
                <w:rFonts w:ascii="Times New Roman" w:hAnsi="Times New Roman" w:cs="Times New Roman"/>
                <w:color w:val="000000"/>
                <w:sz w:val="24"/>
                <w:szCs w:val="24"/>
              </w:rPr>
              <w:br/>
              <w:t xml:space="preserve">Jānis </w:t>
            </w:r>
            <w:proofErr w:type="spellStart"/>
            <w:r>
              <w:rPr>
                <w:rFonts w:ascii="Times New Roman" w:hAnsi="Times New Roman" w:cs="Times New Roman"/>
                <w:color w:val="000000"/>
                <w:sz w:val="24"/>
                <w:szCs w:val="24"/>
              </w:rPr>
              <w:t>Kirkovalds</w:t>
            </w:r>
            <w:proofErr w:type="spellEnd"/>
          </w:p>
        </w:tc>
      </w:tr>
    </w:tbl>
    <w:p w14:paraId="0EEF7370" w14:textId="77777777" w:rsidR="002B13F7" w:rsidRDefault="002B13F7" w:rsidP="002B13F7">
      <w:pPr>
        <w:autoSpaceDE w:val="0"/>
        <w:autoSpaceDN w:val="0"/>
        <w:adjustRightInd w:val="0"/>
        <w:spacing w:after="0" w:line="240" w:lineRule="auto"/>
        <w:rPr>
          <w:rFonts w:ascii="Times New Roman" w:hAnsi="Times New Roman" w:cs="Times New Roman"/>
          <w:color w:val="000000"/>
          <w:sz w:val="24"/>
          <w:szCs w:val="24"/>
        </w:rPr>
      </w:pPr>
    </w:p>
    <w:p w14:paraId="132C3767" w14:textId="77777777" w:rsidR="002B13F7" w:rsidRDefault="002B13F7" w:rsidP="002B13F7">
      <w:pPr>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A0" w:firstRow="1" w:lastRow="0" w:firstColumn="1" w:lastColumn="0" w:noHBand="0" w:noVBand="0"/>
      </w:tblPr>
      <w:tblGrid>
        <w:gridCol w:w="9071"/>
      </w:tblGrid>
      <w:tr w:rsidR="002B13F7" w14:paraId="5E525A04" w14:textId="77777777" w:rsidTr="002B13F7">
        <w:tc>
          <w:tcPr>
            <w:tcW w:w="5000" w:type="pct"/>
          </w:tcPr>
          <w:p w14:paraId="2256283C" w14:textId="77777777" w:rsidR="002B13F7" w:rsidRDefault="002B13F7" w:rsidP="002B13F7">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Agris </w:t>
            </w:r>
            <w:proofErr w:type="spellStart"/>
            <w:r>
              <w:rPr>
                <w:rFonts w:ascii="Times New Roman" w:hAnsi="Times New Roman" w:cs="Times New Roman"/>
                <w:color w:val="000000"/>
                <w:sz w:val="20"/>
                <w:szCs w:val="20"/>
              </w:rPr>
              <w:t>Kurms</w:t>
            </w:r>
            <w:proofErr w:type="spellEnd"/>
            <w:r>
              <w:rPr>
                <w:rFonts w:ascii="Times New Roman" w:hAnsi="Times New Roman" w:cs="Times New Roman"/>
                <w:color w:val="000000"/>
                <w:sz w:val="20"/>
                <w:szCs w:val="20"/>
              </w:rPr>
              <w:t xml:space="preserve"> 25482243</w:t>
            </w:r>
          </w:p>
        </w:tc>
      </w:tr>
    </w:tbl>
    <w:p w14:paraId="18542B97" w14:textId="77777777" w:rsidR="005766AC" w:rsidRPr="00E77323" w:rsidRDefault="005766AC" w:rsidP="002B13F7">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ED78" w14:textId="77777777" w:rsidR="002B13F7" w:rsidRDefault="002B13F7" w:rsidP="00117405">
      <w:pPr>
        <w:spacing w:after="0" w:line="240" w:lineRule="auto"/>
      </w:pPr>
      <w:r>
        <w:separator/>
      </w:r>
    </w:p>
  </w:endnote>
  <w:endnote w:type="continuationSeparator" w:id="0">
    <w:p w14:paraId="209EF678" w14:textId="77777777" w:rsidR="002B13F7" w:rsidRDefault="002B13F7"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3FCF" w14:textId="77777777" w:rsidR="002B13F7" w:rsidRDefault="002B13F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F196" w14:textId="77777777" w:rsidR="002B13F7" w:rsidRDefault="002B13F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D8C2" w14:textId="77777777" w:rsidR="002B13F7" w:rsidRDefault="002B13F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F50D" w14:textId="77777777" w:rsidR="002B13F7" w:rsidRDefault="002B13F7" w:rsidP="00117405">
      <w:pPr>
        <w:spacing w:after="0" w:line="240" w:lineRule="auto"/>
      </w:pPr>
      <w:r>
        <w:separator/>
      </w:r>
    </w:p>
  </w:footnote>
  <w:footnote w:type="continuationSeparator" w:id="0">
    <w:p w14:paraId="62CFDF2C" w14:textId="77777777" w:rsidR="002B13F7" w:rsidRDefault="002B13F7"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CA43" w14:textId="77777777" w:rsidR="002B13F7" w:rsidRDefault="002B13F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FCD7" w14:textId="77777777" w:rsidR="002B13F7" w:rsidRDefault="002B13F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14:paraId="61F9B9A3" w14:textId="77777777" w:rsidTr="007F566F">
      <w:trPr>
        <w:cantSplit/>
        <w:trHeight w:val="3515"/>
        <w:jc w:val="center"/>
      </w:trPr>
      <w:tc>
        <w:tcPr>
          <w:tcW w:w="9061" w:type="dxa"/>
        </w:tcPr>
        <w:p w14:paraId="7E5019C6" w14:textId="77777777" w:rsidR="007F566F" w:rsidRPr="007F566F" w:rsidRDefault="007F566F">
          <w:pPr>
            <w:pStyle w:val="Galvene"/>
            <w:rPr>
              <w:rFonts w:ascii="Times New Roman" w:hAnsi="Times New Roman" w:cs="Times New Roman"/>
              <w:b/>
              <w:sz w:val="24"/>
              <w:szCs w:val="24"/>
            </w:rPr>
          </w:pPr>
        </w:p>
      </w:tc>
    </w:tr>
  </w:tbl>
  <w:p w14:paraId="44539408" w14:textId="77777777" w:rsidR="00526744" w:rsidRDefault="00526744">
    <w:pPr>
      <w:pStyle w:val="Galvene"/>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21FE96E9" wp14:editId="3EF03DD7">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14:paraId="5562CD5F" w14:textId="77777777" w:rsidR="002B13F7" w:rsidRPr="002B13F7" w:rsidRDefault="002B13F7">
    <w:pPr>
      <w:pStyle w:val="Galvene"/>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F7"/>
    <w:rsid w:val="00046C5E"/>
    <w:rsid w:val="00117405"/>
    <w:rsid w:val="001D1AD2"/>
    <w:rsid w:val="002302EC"/>
    <w:rsid w:val="002B13F7"/>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208BA"/>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4A702"/>
  <w15:docId w15:val="{84083099-5B53-4EDF-926D-FFDA9058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6232B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232BF"/>
    <w:rPr>
      <w:rFonts w:ascii="Tahoma" w:hAnsi="Tahoma" w:cs="Tahoma"/>
      <w:sz w:val="16"/>
      <w:szCs w:val="16"/>
    </w:rPr>
  </w:style>
  <w:style w:type="paragraph" w:styleId="Galvene">
    <w:name w:val="header"/>
    <w:basedOn w:val="Parasts"/>
    <w:link w:val="GalveneRakstz"/>
    <w:uiPriority w:val="99"/>
    <w:unhideWhenUsed/>
    <w:rsid w:val="00117405"/>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117405"/>
  </w:style>
  <w:style w:type="paragraph" w:styleId="Kjene">
    <w:name w:val="footer"/>
    <w:basedOn w:val="Parasts"/>
    <w:link w:val="KjeneRakstz"/>
    <w:uiPriority w:val="99"/>
    <w:unhideWhenUsed/>
    <w:rsid w:val="00117405"/>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117405"/>
  </w:style>
  <w:style w:type="table" w:styleId="Reatabula">
    <w:name w:val="Table Grid"/>
    <w:basedOn w:val="Parastatabula"/>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miltin/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ST_veidlapa_WORD_2021</Template>
  <TotalTime>1</TotalTime>
  <Pages>5</Pages>
  <Words>10626</Words>
  <Characters>6057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Smiltiņa</dc:creator>
  <cp:lastModifiedBy>Viesturs Kadiķis</cp:lastModifiedBy>
  <cp:revision>2</cp:revision>
  <dcterms:created xsi:type="dcterms:W3CDTF">2021-07-27T04:51:00Z</dcterms:created>
  <dcterms:modified xsi:type="dcterms:W3CDTF">2021-07-27T04:51:00Z</dcterms:modified>
</cp:coreProperties>
</file>