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0A0" w:firstRow="1" w:lastRow="0" w:firstColumn="1" w:lastColumn="0" w:noHBand="0" w:noVBand="0"/>
      </w:tblPr>
      <w:tblGrid>
        <w:gridCol w:w="5669"/>
        <w:gridCol w:w="3402"/>
      </w:tblGrid>
      <w:tr w:rsidR="0017065D" w:rsidTr="0017065D">
        <w:tc>
          <w:tcPr>
            <w:tcW w:w="3125" w:type="pct"/>
          </w:tcPr>
          <w:p w:rsidR="0017065D" w:rsidRDefault="0017065D" w:rsidP="0017065D">
            <w:pPr>
              <w:keepLines/>
              <w:autoSpaceDE w:val="0"/>
              <w:autoSpaceDN w:val="0"/>
              <w:adjustRightInd w:val="0"/>
              <w:spacing w:after="0" w:line="40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Rīgā</w:t>
            </w:r>
          </w:p>
          <w:p w:rsidR="0017065D" w:rsidRDefault="0017065D" w:rsidP="0017065D">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17065D" w:rsidRDefault="0017065D" w:rsidP="0017065D">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 xml:space="preserve">Reģistrācijas numuru skatīt pievienotajā failā </w:t>
            </w:r>
            <w:proofErr w:type="spellStart"/>
            <w:r>
              <w:rPr>
                <w:rFonts w:ascii="Times New Roman" w:hAnsi="Times New Roman" w:cs="Times New Roman"/>
                <w:color w:val="000000"/>
                <w:sz w:val="24"/>
                <w:szCs w:val="24"/>
              </w:rPr>
              <w:t>Registracijas_numurs</w:t>
            </w:r>
            <w:proofErr w:type="spellEnd"/>
          </w:p>
        </w:tc>
        <w:tc>
          <w:tcPr>
            <w:tcW w:w="1875" w:type="pct"/>
          </w:tcPr>
          <w:p w:rsidR="0017065D" w:rsidRDefault="0017065D" w:rsidP="0017065D">
            <w:pPr>
              <w:keepLines/>
              <w:autoSpaceDE w:val="0"/>
              <w:autoSpaceDN w:val="0"/>
              <w:adjustRightInd w:val="0"/>
              <w:spacing w:after="0" w:line="240" w:lineRule="auto"/>
              <w:jc w:val="right"/>
              <w:rPr>
                <w:rFonts w:ascii="Times New Roman" w:hAnsi="Times New Roman" w:cs="Times New Roman"/>
                <w:color w:val="000000"/>
                <w:sz w:val="24"/>
                <w:szCs w:val="24"/>
              </w:rPr>
            </w:pPr>
          </w:p>
          <w:p w:rsidR="0017065D" w:rsidRDefault="0017065D" w:rsidP="0017065D">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Sabiedrisko pakalpojumu regulēšanas komisija</w:t>
            </w:r>
            <w:r>
              <w:rPr>
                <w:rFonts w:ascii="Times New Roman" w:hAnsi="Times New Roman" w:cs="Times New Roman"/>
                <w:color w:val="000000"/>
                <w:sz w:val="24"/>
                <w:szCs w:val="24"/>
              </w:rPr>
              <w:br/>
              <w:t>Ūnijas iela 45</w:t>
            </w:r>
            <w:r>
              <w:rPr>
                <w:rFonts w:ascii="Times New Roman" w:hAnsi="Times New Roman" w:cs="Times New Roman"/>
                <w:color w:val="000000"/>
                <w:sz w:val="24"/>
                <w:szCs w:val="24"/>
              </w:rPr>
              <w:br/>
              <w:t>Rīga, LV-1039</w:t>
            </w:r>
            <w:r>
              <w:rPr>
                <w:rFonts w:ascii="Times New Roman" w:hAnsi="Times New Roman" w:cs="Times New Roman"/>
                <w:color w:val="000000"/>
                <w:sz w:val="24"/>
                <w:szCs w:val="24"/>
              </w:rPr>
              <w:br/>
              <w:t>Latvija</w:t>
            </w:r>
          </w:p>
        </w:tc>
      </w:tr>
    </w:tbl>
    <w:p w:rsidR="0017065D" w:rsidRDefault="0017065D" w:rsidP="0017065D">
      <w:pPr>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17065D" w:rsidTr="0017065D">
        <w:tc>
          <w:tcPr>
            <w:tcW w:w="5000" w:type="pct"/>
          </w:tcPr>
          <w:p w:rsidR="0017065D" w:rsidRDefault="0017065D" w:rsidP="0017065D">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konsultāciju dokumentu attiecībā uz noteikumiem par elektroenerģijas sadales sistēmas attīstības plānu</w:t>
            </w:r>
          </w:p>
        </w:tc>
      </w:tr>
    </w:tbl>
    <w:p w:rsidR="0017065D" w:rsidRDefault="0017065D" w:rsidP="0017065D">
      <w:pPr>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17065D" w:rsidTr="0017065D">
        <w:tc>
          <w:tcPr>
            <w:tcW w:w="5000" w:type="pct"/>
          </w:tcPr>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augstu novērtē Sabiedrisko pakalpojumu regulēšanas komisijas (turpmāk - SPRK) iesaisti elektroenerģijas sadales sistēmas attīstības plānošanā un uzraudzībā, tādejādi nodrošinot lielāku sistēmas lietotāju interešu pārstāvību plānošanas procesā un attīstības prioritāšu noteikšanā, padarot plānošanas procesu vēl caurskatāmāku un izsekojamāku.</w:t>
            </w:r>
          </w:p>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ir iepazinies ar SPRK 2020.gada 7.maijā publicēto konsultāciju dokumentu Par noteikumiem par elektroenerģijas sadales sistēmas attīstības plānu (turpmāk – Noteikumu projekts) un sniedz komentārus un priekšlikumus Noteikumu projekta precizēšanai.</w:t>
            </w:r>
          </w:p>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 xml:space="preserve">AS "Sadales tīkls" ir teritoriāli vienots uzņēmums un savus attīstības mērķus  un kapitālieguldījumus sadales sistēmā visā licences zonā plāno atbilstoši vienotiem kritērijiem un vienotai kapitālieguldījumu </w:t>
            </w:r>
            <w:proofErr w:type="spellStart"/>
            <w:r>
              <w:rPr>
                <w:rFonts w:ascii="Times New Roman" w:hAnsi="Times New Roman" w:cs="Times New Roman"/>
                <w:color w:val="000000"/>
                <w:sz w:val="24"/>
                <w:szCs w:val="24"/>
              </w:rPr>
              <w:t>prioritizēšanas</w:t>
            </w:r>
            <w:proofErr w:type="spellEnd"/>
            <w:r>
              <w:rPr>
                <w:rFonts w:ascii="Times New Roman" w:hAnsi="Times New Roman" w:cs="Times New Roman"/>
                <w:color w:val="000000"/>
                <w:sz w:val="24"/>
                <w:szCs w:val="24"/>
              </w:rPr>
              <w:t xml:space="preserve"> kārtībai (projektu rangam). Lai atbilstoši izsniegtajai licencei nodrošinātu vienlīdzīgus elektroenerģijas sadales sistēmas lietošanas nosacījumus un pakalpojuma kvalitāti sistēmas lietotājiem visā licences zonā, nav atbilstoši ieviest attīstības mērķu reģionālu dalījumu, reģionālu kapitālieguldījumu plānošanu vai reģionāli atšķirīgu elektroenerģijas sadales sistēmas attīstību. AS "Sadales tīkls" kapitālieguldījumu plānošanas pieeju revīzijas laikā vērtējusi arī Valsts kontrole, pēc revīzijas atzīstot to par atbilstošu (skat. vēstules pielikumā izrakstu no 2019.gada 28.februārī saņemtā Valsts kontroles ziņojuma par Valsts kontroles sniegto ieteikumu ieviešanu), tāpēc ierosinām Noteikumu projektā paredzēto attīstības plāna dalījumu veidot saskaņoti ar Valsts kontroles revīzijā ierosināto un vēlāk </w:t>
            </w:r>
            <w:proofErr w:type="spellStart"/>
            <w:r>
              <w:rPr>
                <w:rFonts w:ascii="Times New Roman" w:hAnsi="Times New Roman" w:cs="Times New Roman"/>
                <w:color w:val="000000"/>
                <w:sz w:val="24"/>
                <w:szCs w:val="24"/>
              </w:rPr>
              <w:t>pēcrevīzijā</w:t>
            </w:r>
            <w:proofErr w:type="spellEnd"/>
            <w:r>
              <w:rPr>
                <w:rFonts w:ascii="Times New Roman" w:hAnsi="Times New Roman" w:cs="Times New Roman"/>
                <w:color w:val="000000"/>
                <w:sz w:val="24"/>
                <w:szCs w:val="24"/>
              </w:rPr>
              <w:t xml:space="preserve"> izvērtēto plānošanas dalījumu. </w:t>
            </w:r>
          </w:p>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 xml:space="preserve">Izsniegtā licence elektroenerģijas sadales sniegšanai nosaka pienākumu sistēmas operatoram uzturēt energoapgādes veikšanai nepieciešamos objektus un paredz tiesības un pienākumu plānveidā attīstīt savu darbību un piedalīties koordinētas un efektīvas energoapgādes nodrošināšanā un attīstībā. Lielākā daļa sadales tīkls kapitālieguldījumu sadales sistēmā ir paredzēta sadales sistēmas atjaunošanai un uzturēšanai sabiedrībai un videi drošā stāvoklī. Šie kapitālieguldījumi ir neatliekami un šobrīd nepārsniedz sistēmas nolietojuma izmaksas. </w:t>
            </w:r>
          </w:p>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ab/>
              <w:t xml:space="preserve">AS "Sadales tīkls" vispārējie darbības mērķi, t.sk. galvenie tīkla attīstības mērķi un kvantitatīvi izteikti sasniedzamie rādītāji, tiek noteikti Vidēja termiņa darbības stratēģijā, kas izstrādāta saskaņā ar Publiskas personas kapitāla daļu un kapitālsabiedrību pārvaldības likumu un </w:t>
            </w:r>
            <w:proofErr w:type="spellStart"/>
            <w:r>
              <w:rPr>
                <w:rFonts w:ascii="Times New Roman" w:hAnsi="Times New Roman" w:cs="Times New Roman"/>
                <w:color w:val="000000"/>
                <w:sz w:val="24"/>
                <w:szCs w:val="24"/>
              </w:rPr>
              <w:t>Pārresoru</w:t>
            </w:r>
            <w:proofErr w:type="spellEnd"/>
            <w:r>
              <w:rPr>
                <w:rFonts w:ascii="Times New Roman" w:hAnsi="Times New Roman" w:cs="Times New Roman"/>
                <w:color w:val="000000"/>
                <w:sz w:val="24"/>
                <w:szCs w:val="24"/>
              </w:rPr>
              <w:t xml:space="preserve"> koordinācijas centra vadlīnijām, saskaņota ar Latvenergo vidēja termiņa darbības stratēģiju un ar 2016.gada Ministru kabineta rīkojumu Nr.489 Par akciju sabiedrības "Latvenergo" vispārējo stratēģisko mērķi. Pamatojoties uz stratēģiju, jau ir izstrādāts uzņēmuma finanšu vadības plāns un iekšējais attīstības plāns 10 gadu periodam, kuros tiek noteiktas galvenās kapitālieguldījumu investīciju programmas apstiprināto mērķu un noteikto darbības rādītāju sasniegšanai. AS "Sadales tīkls" ierosina Noteikumu projektā paredzēt, ka attīstības mērķi un sasniedzamie rādītāji tiek noteikti vienoti ar Vidēja termiņa darbības stratēģijā ietvertajiem attīstības pamatprincipiem, lai varētu nodrošināt  dažādos tiesību aktos paredzēto plānošanas dokumentu pamatprincipu saskaņotību.</w:t>
            </w:r>
          </w:p>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t xml:space="preserve">Ierosinām pārskatīt Noteikumu projektā paredzēto kapitālieguldījumu iedalījuma (atspoguļošanas) principu – dalījumā pēc infrastruktūras posmu noslodzes. Noslodze ir parametrs, ko nosaka pret attiecīga tīkla elementa maksimālo caurlaides spēju (nominālo jaudu) – kas var būt palielināta sprieguma kvalitātes un tīkla attīstības perspektīvas nodrošināšanai, šāds informācijas skatījums objektīvi neatspoguļo kapitālieguldījumu nepieciešamību, izlietojuma efektivitāti un ilgtspēju attiecīgajā posmā. Kapitālieguldījumu būtiskuma izvērtēšana veicama kompleksi, ietverot vairākus aspektus, no kuriem būtiskākie – objekta tehniskais stāvoklis (nolietojums), elektroenerģijas patēriņa intensitāte un sistēmas lietotāju skaits teritorijā, kuras elektroapgādes nodrošināšanai paredzēts attiecīgais objekts u.c. AS "Sadales tīkls" savos iekšējos attīstības dokumentos attiecībā uz tehnisko risinājumu izvēli ir ieviesis trīs līmeņu teritoriālo dalījumu – blīvi apdzīvotas vietas, apdzīvotas vietas un izkliedēts elektrotīkls, gradējot šīs grupas pēc kopējā elektroenerģijas patēriņa un lietotāju skaita attiecīgajā teritorijā. Noteikumu projektā ierosinām paredzēt informācijas atspoguļošanu nākamajam kalendārajam gadam </w:t>
            </w:r>
            <w:r>
              <w:rPr>
                <w:rFonts w:ascii="Times New Roman" w:hAnsi="Times New Roman" w:cs="Times New Roman"/>
                <w:i/>
                <w:iCs/>
                <w:color w:val="000000"/>
                <w:sz w:val="24"/>
                <w:szCs w:val="24"/>
              </w:rPr>
              <w:t>sadales sistēmas teritoriju</w:t>
            </w:r>
            <w:r>
              <w:rPr>
                <w:rFonts w:ascii="Times New Roman" w:hAnsi="Times New Roman" w:cs="Times New Roman"/>
                <w:color w:val="000000"/>
                <w:sz w:val="24"/>
                <w:szCs w:val="24"/>
              </w:rPr>
              <w:t xml:space="preserve"> skatījumā.</w:t>
            </w:r>
          </w:p>
          <w:p w:rsidR="0017065D" w:rsidRDefault="0017065D" w:rsidP="0017065D">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AS "Sadales tīkls" kapitālieguldījumus konkrētu investīciju objektu (projektu) līmenī spēj saplānot tekošajam gadam un nākamo 2 gadu periodam, bet</w:t>
            </w:r>
            <w:r>
              <w:rPr>
                <w:rFonts w:ascii="Helv" w:hAnsi="Helv" w:cs="Helv"/>
                <w:color w:val="000000"/>
              </w:rPr>
              <w:t xml:space="preserve"> </w:t>
            </w:r>
            <w:r>
              <w:rPr>
                <w:rFonts w:ascii="Times New Roman" w:hAnsi="Times New Roman" w:cs="Times New Roman"/>
                <w:color w:val="000000"/>
                <w:sz w:val="24"/>
                <w:szCs w:val="24"/>
              </w:rPr>
              <w:t xml:space="preserve">tālākā perspektīvā - tikai investīciju programmu griezumā, bez iespējām tos piesaistīt teritoriālam dalījumam. Norādām, ka Noteikumu projektā paredzētajā plāna iesniegšanas termiņā (31.maijs) pilna informācija par aiznākamo gadu nav zināma, jo līdz tekošā gada oktobrim tiek apkopoti tīkla defektēšanas rezultāti, kas ietekmē aiznākamā gada objektu plānu. Tātad detalizētu plānu nākamo divu kalendāro gadu periodam AS "Sadales tīkls" spētu nodrošināt līdz 31.oktobrim. AS "Sadales tīkls" ierosina kapitālieguldījumus virs 140 tūkst. eiro un teritoriālā dalījumā paredzēt tikai nākamajam gadam, bet tālākajiem gadiem informāciju atspoguļot mērķa investīciju programmu līmenī. Šāds priekšlikums ir pamatots ar to, ka sadales sistēmas izmaiņas ir dinamiskas un tās ietekmē projektu plānošanu – jauni sistēmas lietotāju pieprasījumi (sistēmas </w:t>
            </w:r>
            <w:proofErr w:type="spellStart"/>
            <w:r>
              <w:rPr>
                <w:rFonts w:ascii="Times New Roman" w:hAnsi="Times New Roman" w:cs="Times New Roman"/>
                <w:color w:val="000000"/>
                <w:sz w:val="24"/>
                <w:szCs w:val="24"/>
              </w:rPr>
              <w:t>pieslēgumi</w:t>
            </w:r>
            <w:proofErr w:type="spellEnd"/>
            <w:r>
              <w:rPr>
                <w:rFonts w:ascii="Times New Roman" w:hAnsi="Times New Roman" w:cs="Times New Roman"/>
                <w:color w:val="000000"/>
                <w:sz w:val="24"/>
                <w:szCs w:val="24"/>
              </w:rPr>
              <w:t xml:space="preserve">, trešo personu ierosināta (un apmaksāta) objektu pārvietošana un pārbūve), aktualizēti tehniskās apsekošana rezultāti, pašvaldību plāni un lēmumi, kas liek pārskatīt apstiprināto investīciju objektu (projektu) īstenošanas secību, lai tie tiktu īstenoti maksimāli efektīvi (piemēram veicot elektrotīklu pārbūvi vienlaicīgi ar pašvaldības ielas pārbūvi). Attīstības plāna atspoguļošana mērķa investīciju programmu dalījumā mūsuprāt atbilst Elektroenerģijas tirgus direktīvas 32.panta  3.punktam un Elektroenerģijas tirgus likumam,  kas nosaka, ka Tīkla attīstības plāns paredz nodrošināt nepieciešamo elastības pakalpojumu </w:t>
            </w:r>
            <w:proofErr w:type="spellStart"/>
            <w:r>
              <w:rPr>
                <w:rFonts w:ascii="Times New Roman" w:hAnsi="Times New Roman" w:cs="Times New Roman"/>
                <w:color w:val="000000"/>
                <w:sz w:val="24"/>
                <w:szCs w:val="24"/>
              </w:rPr>
              <w:t>pārredzamību</w:t>
            </w:r>
            <w:proofErr w:type="spellEnd"/>
            <w:r>
              <w:rPr>
                <w:rFonts w:ascii="Times New Roman" w:hAnsi="Times New Roman" w:cs="Times New Roman"/>
                <w:color w:val="000000"/>
                <w:sz w:val="24"/>
                <w:szCs w:val="24"/>
              </w:rPr>
              <w:t xml:space="preserve"> vidējā termiņā un ilgtermiņā, un tajā ir norādītas plānotās investīcijas nākamajiem pieciem līdz desmit gadiem.</w:t>
            </w:r>
          </w:p>
          <w:p w:rsidR="0017065D" w:rsidRDefault="0017065D" w:rsidP="0017065D">
            <w:pPr>
              <w:keepLines/>
              <w:autoSpaceDE w:val="0"/>
              <w:autoSpaceDN w:val="0"/>
              <w:adjustRightInd w:val="0"/>
              <w:spacing w:after="0" w:line="240" w:lineRule="auto"/>
              <w:ind w:firstLine="720"/>
              <w:jc w:val="both"/>
              <w:rPr>
                <w:rFonts w:ascii="Times New Roman" w:hAnsi="Times New Roman" w:cs="Times New Roman"/>
                <w:color w:val="000000"/>
                <w:sz w:val="24"/>
                <w:szCs w:val="24"/>
              </w:rPr>
            </w:pPr>
          </w:p>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Pr>
                <w:rFonts w:ascii="Times New Roman" w:hAnsi="Times New Roman" w:cs="Times New Roman"/>
                <w:color w:val="000000"/>
                <w:sz w:val="24"/>
                <w:szCs w:val="24"/>
              </w:rPr>
              <w:tab/>
              <w:t xml:space="preserve">Pastāv būtiska atšķirība starp sadales sistēmas un pārvades sistēmas operatora īstenotajiem kapitālieguldījumu projektiem (objektiem) – būtiski atšķirīgs ikgadējais projektu skaits, projektu apmērs, izmaksas un īstenošanas laiks. AS "Sadales tīkls" gada laikā īsteno kapitālieguldījumus aptuveni 1200 dažādos tīkla objektos, no gada uz gadu pārejošu objektu skaits ir ļoti neliels. Noteikumu projektā ir iekļautas atskaites tabulas pēc līdzības ar SPRK padomes lēmumu Nr.1/28 "Noteikumi par elektroenerģijas pārvades sistēmas attīstības plānu", t.sk. tabula 6.pielikumā, kuras aizpildīšanai par pilnīgi visiem gada laikā īstenotajiem objektiem būtu jāvelta ievērojami sadales sistēmas operatora resursi. Lūdzam pārskatīt Noteikumu projekta pielikumos pieprasītās informācijas (detalizācijas) apmēra nepieciešamību. AS "Sadales tīkls" ierosina atsevišķi (objektu līmenī) izdalīt un sniegt detalizētu informāciju par objektiem un atsevišķiem projektiem, kas pārsniedz 140 </w:t>
            </w:r>
            <w:proofErr w:type="spellStart"/>
            <w:r>
              <w:rPr>
                <w:rFonts w:ascii="Times New Roman" w:hAnsi="Times New Roman" w:cs="Times New Roman"/>
                <w:color w:val="000000"/>
                <w:sz w:val="24"/>
                <w:szCs w:val="24"/>
              </w:rPr>
              <w:t>tūkst.EU</w:t>
            </w:r>
            <w:r>
              <w:rPr>
                <w:rFonts w:ascii="Times New Roman" w:hAnsi="Times New Roman" w:cs="Times New Roman"/>
                <w:color w:val="000000"/>
                <w:sz w:val="24"/>
                <w:szCs w:val="24"/>
                <w:u w:val="single"/>
              </w:rPr>
              <w:t>R</w:t>
            </w:r>
            <w:proofErr w:type="spellEnd"/>
            <w:r>
              <w:rPr>
                <w:rFonts w:ascii="Times New Roman" w:hAnsi="Times New Roman" w:cs="Times New Roman"/>
                <w:color w:val="000000"/>
                <w:sz w:val="24"/>
                <w:szCs w:val="24"/>
              </w:rPr>
              <w:t>, bet apkopotā veidā sadalījumā pa investīciju programmām sniegt informāciju par visiem pārējiem kapitālieguldījumiem sadales sistēmā.</w:t>
            </w:r>
          </w:p>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Pr>
                <w:rFonts w:ascii="Times New Roman" w:hAnsi="Times New Roman" w:cs="Times New Roman"/>
                <w:color w:val="000000"/>
                <w:sz w:val="24"/>
                <w:szCs w:val="24"/>
              </w:rPr>
              <w:tab/>
              <w:t xml:space="preserve">AS "Sadales tīkls" lūdz precizēt attīstības plāna tvērumu. Saskaņā ar Elektroenerģijas tirgus likumu un 2019.gada 5.jūnija Direktīvu 2019/944 par kopīgiem noteikumiem attiecībā uz elektroenerģijas iekšējo tirgu un ar ko groza Direktīvu 2012/27/ES (pārstrādāta redakcija) ievaddaļas 61. punktu un 32.pantu tiek paredzēts plānu izstrādāt attiecībā uz sadales sistēmas t.i. tīkla infrastruktūras attīstību, neattiecinot to uz visiem sistēmas operatora kapitālieguldījumiem. AS "Sadales tīkls" izpratnē direktīvā paredzētais plāna mērķis ir atspoguļot, kādā veidā sistēma (infrastruktūra) tiek pielāgota mūsdienu vajadzībām – piemēram, AER, </w:t>
            </w:r>
            <w:proofErr w:type="spellStart"/>
            <w:r>
              <w:rPr>
                <w:rFonts w:ascii="Times New Roman" w:hAnsi="Times New Roman" w:cs="Times New Roman"/>
                <w:color w:val="000000"/>
                <w:sz w:val="24"/>
                <w:szCs w:val="24"/>
              </w:rPr>
              <w:t>elektroauto</w:t>
            </w:r>
            <w:proofErr w:type="spellEnd"/>
            <w:r>
              <w:rPr>
                <w:rFonts w:ascii="Times New Roman" w:hAnsi="Times New Roman" w:cs="Times New Roman"/>
                <w:color w:val="000000"/>
                <w:sz w:val="24"/>
                <w:szCs w:val="24"/>
              </w:rPr>
              <w:t xml:space="preserve"> uzlādes infrastruktūras integrācijai. Nebūtu paplašināmas Enerģētikas likumā esošo </w:t>
            </w:r>
            <w:r>
              <w:rPr>
                <w:rFonts w:ascii="Times New Roman" w:hAnsi="Times New Roman" w:cs="Times New Roman"/>
                <w:i/>
                <w:iCs/>
                <w:color w:val="000000"/>
                <w:sz w:val="24"/>
                <w:szCs w:val="24"/>
              </w:rPr>
              <w:t>sistēmas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sadales sistēmas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elektroenerģijas sadales,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energoapgādes komersanta objekta</w:t>
            </w:r>
            <w:r>
              <w:rPr>
                <w:rFonts w:ascii="Times New Roman" w:hAnsi="Times New Roman" w:cs="Times New Roman"/>
                <w:color w:val="000000"/>
                <w:sz w:val="24"/>
                <w:szCs w:val="24"/>
              </w:rPr>
              <w:t xml:space="preserve"> definīciju tvērums - par sistēmas daļu nebūtu uzskatāmi sistēmas operatora priekšmeti un manta, t.sk. IT sistēmas, kas nav tieši saistītas ar </w:t>
            </w:r>
            <w:r>
              <w:rPr>
                <w:rFonts w:ascii="Times New Roman" w:hAnsi="Times New Roman" w:cs="Times New Roman"/>
                <w:i/>
                <w:iCs/>
                <w:color w:val="000000"/>
                <w:sz w:val="24"/>
                <w:szCs w:val="24"/>
              </w:rPr>
              <w:t>elektroenerģijas sadales</w:t>
            </w:r>
            <w:r>
              <w:rPr>
                <w:rFonts w:ascii="Times New Roman" w:hAnsi="Times New Roman" w:cs="Times New Roman"/>
                <w:color w:val="000000"/>
                <w:sz w:val="24"/>
                <w:szCs w:val="24"/>
              </w:rPr>
              <w:t xml:space="preserve"> nodrošināšanu. Sadales sistēmas operatora visu kapitālieguldījumu pamatotību SPRK vērtē tarifu projektu vērtēšanas gaitā.</w:t>
            </w:r>
          </w:p>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Pr>
                <w:rFonts w:ascii="Times New Roman" w:hAnsi="Times New Roman" w:cs="Times New Roman"/>
                <w:color w:val="000000"/>
                <w:sz w:val="24"/>
                <w:szCs w:val="24"/>
              </w:rPr>
              <w:tab/>
              <w:t>Noteikumu projektā vairākkārt lietota atsauce uz Tīkla kodeksā elektroenerģijas nozarē noteiktajām drošuma un kvalitātes prasībām, tomēr šajā dokumentā tādas faktiski nav noteiktas. Tīkla kodekss elektroenerģijas nozarē ir dokuments, kuru saskaņā ar Elektroenerģijas tirgus likuma 4.panta (2) daļu izstrādā pārvades sistēmas operators un apstiprina SPRK, tādejādi nebūtu korekti, ka drošuma un kvalitātes prasības, kas jānodrošina sadales sistēmas operatoram noteiktu pārvades sistēmas operators. AS "Sadales tīkls" lūdz svītrot no Noteikumu projekta atsauces uz Tīkla kodeksu;</w:t>
            </w:r>
          </w:p>
          <w:p w:rsidR="0017065D" w:rsidRDefault="0017065D" w:rsidP="0017065D">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Pr>
                <w:rFonts w:ascii="Times New Roman" w:hAnsi="Times New Roman" w:cs="Times New Roman"/>
                <w:color w:val="000000"/>
                <w:sz w:val="24"/>
                <w:szCs w:val="24"/>
              </w:rPr>
              <w:tab/>
              <w:t>AS "Sadales tīkls" lūdz Noteikumu projektā paredzēt iespēju veikt korekcijas attīstības plānā pēc tā iesniegšanas, piemēram, saskaņā ar uzklausīšanas sanāksmes laikā saņemtiem pamatotiem ieinteresēto pušu priekšlikumiem. Šobrīd Noteikumu projekta 13.punkts paredz tikai divas iespējas pēc projekta iesniegšanas – apstiprināšanu vai noraidīšanu.</w:t>
            </w:r>
          </w:p>
        </w:tc>
      </w:tr>
    </w:tbl>
    <w:p w:rsidR="0017065D" w:rsidRDefault="0017065D" w:rsidP="0017065D">
      <w:pPr>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17065D" w:rsidTr="0017065D">
        <w:tc>
          <w:tcPr>
            <w:tcW w:w="5000" w:type="pct"/>
          </w:tcPr>
          <w:p w:rsidR="0017065D" w:rsidRDefault="0017065D" w:rsidP="0017065D">
            <w:pPr>
              <w:keepLines/>
              <w:autoSpaceDE w:val="0"/>
              <w:autoSpaceDN w:val="0"/>
              <w:adjustRightInd w:val="0"/>
              <w:spacing w:after="0" w:line="240" w:lineRule="auto"/>
              <w:ind w:left="260" w:right="569"/>
              <w:rPr>
                <w:rFonts w:ascii="Times New Roman" w:hAnsi="Times New Roman" w:cs="Times New Roman"/>
                <w:color w:val="000000"/>
                <w:sz w:val="24"/>
                <w:szCs w:val="24"/>
              </w:rPr>
            </w:pPr>
            <w:r>
              <w:rPr>
                <w:rFonts w:ascii="Times New Roman" w:hAnsi="Times New Roman" w:cs="Times New Roman"/>
                <w:color w:val="000000"/>
                <w:sz w:val="24"/>
                <w:szCs w:val="24"/>
              </w:rPr>
              <w:t>Pielikumā:</w:t>
            </w:r>
          </w:p>
          <w:p w:rsidR="0017065D" w:rsidRDefault="0017065D" w:rsidP="0017065D">
            <w:pPr>
              <w:keepLines/>
              <w:autoSpaceDE w:val="0"/>
              <w:autoSpaceDN w:val="0"/>
              <w:adjustRightInd w:val="0"/>
              <w:spacing w:after="0" w:line="240" w:lineRule="auto"/>
              <w:ind w:left="260" w:right="569"/>
              <w:rPr>
                <w:rFonts w:ascii="Times New Roman" w:hAnsi="Times New Roman" w:cs="Times New Roman"/>
                <w:color w:val="000000"/>
                <w:sz w:val="24"/>
                <w:szCs w:val="24"/>
              </w:rPr>
            </w:pPr>
            <w:r>
              <w:rPr>
                <w:rFonts w:ascii="Times New Roman" w:hAnsi="Times New Roman" w:cs="Times New Roman"/>
                <w:color w:val="000000"/>
                <w:sz w:val="24"/>
                <w:szCs w:val="24"/>
              </w:rPr>
              <w:t>1. Noteikumu projekta redakcija ar ietvertiem AS "Sadales tīkls" priekšlikumiem uz 10 lpp.</w:t>
            </w:r>
            <w:r>
              <w:rPr>
                <w:rFonts w:ascii="Times New Roman" w:hAnsi="Times New Roman" w:cs="Times New Roman"/>
                <w:color w:val="000000"/>
                <w:sz w:val="24"/>
                <w:szCs w:val="24"/>
              </w:rPr>
              <w:br/>
              <w:t>2. Valsts kontroles ziņojuma fragments uz 2 lpp.</w:t>
            </w:r>
          </w:p>
          <w:p w:rsidR="0017065D" w:rsidRDefault="0017065D" w:rsidP="0017065D">
            <w:pPr>
              <w:keepLines/>
              <w:autoSpaceDE w:val="0"/>
              <w:autoSpaceDN w:val="0"/>
              <w:adjustRightInd w:val="0"/>
              <w:spacing w:after="0" w:line="240" w:lineRule="auto"/>
              <w:ind w:left="260" w:right="569"/>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17065D" w:rsidRDefault="0017065D" w:rsidP="0017065D">
      <w:pPr>
        <w:autoSpaceDE w:val="0"/>
        <w:autoSpaceDN w:val="0"/>
        <w:adjustRightInd w:val="0"/>
        <w:spacing w:after="0" w:line="240" w:lineRule="auto"/>
        <w:rPr>
          <w:rFonts w:ascii="Times New Roman" w:hAnsi="Times New Roman" w:cs="Times New Roman"/>
          <w:color w:val="000000"/>
          <w:sz w:val="20"/>
          <w:szCs w:val="20"/>
        </w:rPr>
      </w:pPr>
    </w:p>
    <w:p w:rsidR="0017065D" w:rsidRDefault="0017065D" w:rsidP="0017065D">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17065D" w:rsidRDefault="0017065D" w:rsidP="0017065D">
      <w:pPr>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A0" w:firstRow="1" w:lastRow="0" w:firstColumn="1" w:lastColumn="0" w:noHBand="0" w:noVBand="0"/>
      </w:tblPr>
      <w:tblGrid>
        <w:gridCol w:w="4386"/>
        <w:gridCol w:w="276"/>
        <w:gridCol w:w="4409"/>
      </w:tblGrid>
      <w:tr w:rsidR="0017065D" w:rsidTr="0017065D">
        <w:tc>
          <w:tcPr>
            <w:tcW w:w="2418" w:type="pct"/>
          </w:tcPr>
          <w:p w:rsidR="0017065D" w:rsidRDefault="0017065D" w:rsidP="0017065D">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Izpilddirektors</w:t>
            </w:r>
            <w:r>
              <w:rPr>
                <w:rFonts w:ascii="Times New Roman" w:hAnsi="Times New Roman" w:cs="Times New Roman"/>
                <w:color w:val="000000"/>
                <w:sz w:val="24"/>
                <w:szCs w:val="24"/>
              </w:rPr>
              <w:br/>
              <w:t>Finanšu direktore</w:t>
            </w:r>
          </w:p>
        </w:tc>
        <w:tc>
          <w:tcPr>
            <w:tcW w:w="152" w:type="pct"/>
          </w:tcPr>
          <w:p w:rsidR="0017065D" w:rsidRDefault="0017065D" w:rsidP="0017065D">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30" w:type="pct"/>
          </w:tcPr>
          <w:p w:rsidR="0017065D" w:rsidRDefault="0017065D" w:rsidP="0017065D">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Sandis Jansons</w:t>
            </w:r>
            <w:r>
              <w:rPr>
                <w:rFonts w:ascii="Times New Roman" w:hAnsi="Times New Roman" w:cs="Times New Roman"/>
                <w:color w:val="000000"/>
                <w:sz w:val="24"/>
                <w:szCs w:val="24"/>
              </w:rPr>
              <w:br/>
              <w:t>Inga Āboliņa</w:t>
            </w:r>
          </w:p>
        </w:tc>
      </w:tr>
    </w:tbl>
    <w:p w:rsidR="0017065D" w:rsidRDefault="0017065D" w:rsidP="0017065D">
      <w:pPr>
        <w:autoSpaceDE w:val="0"/>
        <w:autoSpaceDN w:val="0"/>
        <w:adjustRightInd w:val="0"/>
        <w:spacing w:after="0" w:line="240" w:lineRule="auto"/>
        <w:rPr>
          <w:rFonts w:ascii="Times New Roman" w:hAnsi="Times New Roman" w:cs="Times New Roman"/>
          <w:color w:val="000000"/>
          <w:sz w:val="24"/>
          <w:szCs w:val="24"/>
        </w:rPr>
      </w:pPr>
    </w:p>
    <w:p w:rsidR="0017065D" w:rsidRDefault="0017065D" w:rsidP="0017065D">
      <w:pPr>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17065D" w:rsidTr="0017065D">
        <w:tc>
          <w:tcPr>
            <w:tcW w:w="5000" w:type="pct"/>
          </w:tcPr>
          <w:p w:rsidR="0017065D" w:rsidRDefault="0017065D" w:rsidP="0017065D">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Agris </w:t>
            </w:r>
            <w:proofErr w:type="spellStart"/>
            <w:r>
              <w:rPr>
                <w:rFonts w:ascii="Times New Roman" w:hAnsi="Times New Roman" w:cs="Times New Roman"/>
                <w:color w:val="000000"/>
                <w:sz w:val="20"/>
                <w:szCs w:val="20"/>
              </w:rPr>
              <w:t>Kurms</w:t>
            </w:r>
            <w:proofErr w:type="spellEnd"/>
            <w:r>
              <w:rPr>
                <w:rFonts w:ascii="Times New Roman" w:hAnsi="Times New Roman" w:cs="Times New Roman"/>
                <w:color w:val="000000"/>
                <w:sz w:val="20"/>
                <w:szCs w:val="20"/>
              </w:rPr>
              <w:t xml:space="preserve"> 67728598</w:t>
            </w:r>
          </w:p>
        </w:tc>
      </w:tr>
    </w:tbl>
    <w:p w:rsidR="005766AC" w:rsidRPr="00E77323" w:rsidRDefault="005766AC" w:rsidP="0017065D">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5C30" w:rsidRDefault="00725C30" w:rsidP="00117405">
      <w:pPr>
        <w:spacing w:after="0" w:line="240" w:lineRule="auto"/>
      </w:pPr>
      <w:r>
        <w:separator/>
      </w:r>
    </w:p>
  </w:endnote>
  <w:endnote w:type="continuationSeparator" w:id="0">
    <w:p w:rsidR="00725C30" w:rsidRDefault="00725C30"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065D" w:rsidRDefault="0017065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065D" w:rsidRDefault="0017065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065D" w:rsidRDefault="0017065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5C30" w:rsidRDefault="00725C30" w:rsidP="00117405">
      <w:pPr>
        <w:spacing w:after="0" w:line="240" w:lineRule="auto"/>
      </w:pPr>
      <w:r>
        <w:separator/>
      </w:r>
    </w:p>
  </w:footnote>
  <w:footnote w:type="continuationSeparator" w:id="0">
    <w:p w:rsidR="00725C30" w:rsidRDefault="00725C30"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065D" w:rsidRDefault="0017065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065D" w:rsidRDefault="0017065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eatabula"/>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Galvene"/>
            <w:rPr>
              <w:rFonts w:ascii="Times New Roman" w:hAnsi="Times New Roman" w:cs="Times New Roman"/>
              <w:b/>
              <w:sz w:val="24"/>
              <w:szCs w:val="24"/>
            </w:rPr>
          </w:pPr>
        </w:p>
      </w:tc>
    </w:tr>
  </w:tbl>
  <w:p w:rsidR="00526744" w:rsidRDefault="00526744">
    <w:pPr>
      <w:pStyle w:val="Galvene"/>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17065D" w:rsidRPr="0017065D" w:rsidRDefault="0017065D">
    <w:pPr>
      <w:pStyle w:val="Galvene"/>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5D"/>
    <w:rsid w:val="00046C5E"/>
    <w:rsid w:val="00117405"/>
    <w:rsid w:val="0017065D"/>
    <w:rsid w:val="001D1AD2"/>
    <w:rsid w:val="002302EC"/>
    <w:rsid w:val="003E571F"/>
    <w:rsid w:val="003F7941"/>
    <w:rsid w:val="00454313"/>
    <w:rsid w:val="00476996"/>
    <w:rsid w:val="00526744"/>
    <w:rsid w:val="00561709"/>
    <w:rsid w:val="005766AC"/>
    <w:rsid w:val="006232BF"/>
    <w:rsid w:val="00627FAE"/>
    <w:rsid w:val="006512F4"/>
    <w:rsid w:val="006D2C65"/>
    <w:rsid w:val="00707C55"/>
    <w:rsid w:val="00717B9A"/>
    <w:rsid w:val="00725C30"/>
    <w:rsid w:val="007F566F"/>
    <w:rsid w:val="0083724C"/>
    <w:rsid w:val="008B458C"/>
    <w:rsid w:val="00974D29"/>
    <w:rsid w:val="009B414B"/>
    <w:rsid w:val="009C5EBC"/>
    <w:rsid w:val="00A32671"/>
    <w:rsid w:val="00B95B3B"/>
    <w:rsid w:val="00BF2CBA"/>
    <w:rsid w:val="00CA287B"/>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54687-C060-4542-BE9E-1573AD4D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232B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232BF"/>
    <w:rPr>
      <w:rFonts w:ascii="Tahoma" w:hAnsi="Tahoma" w:cs="Tahoma"/>
      <w:sz w:val="16"/>
      <w:szCs w:val="16"/>
    </w:rPr>
  </w:style>
  <w:style w:type="paragraph" w:styleId="Galvene">
    <w:name w:val="header"/>
    <w:basedOn w:val="Parasts"/>
    <w:link w:val="GalveneRakstz"/>
    <w:uiPriority w:val="99"/>
    <w:unhideWhenUsed/>
    <w:rsid w:val="00117405"/>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117405"/>
  </w:style>
  <w:style w:type="paragraph" w:styleId="Kjene">
    <w:name w:val="footer"/>
    <w:basedOn w:val="Parasts"/>
    <w:link w:val="KjeneRakstz"/>
    <w:uiPriority w:val="99"/>
    <w:unhideWhenUsed/>
    <w:rsid w:val="00117405"/>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117405"/>
  </w:style>
  <w:style w:type="table" w:styleId="Reatabula">
    <w:name w:val="Table Grid"/>
    <w:basedOn w:val="Parastatabula"/>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ucere/AppData/Local/Temp/ST_veidlapa_WORD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ST_veidlapa_WORD_NEW</Template>
  <TotalTime>0</TotalTime>
  <Pages>4</Pages>
  <Words>6444</Words>
  <Characters>3674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 Stucere</dc:creator>
  <cp:lastModifiedBy>Svetlana Orlova</cp:lastModifiedBy>
  <cp:revision>2</cp:revision>
  <dcterms:created xsi:type="dcterms:W3CDTF">2020-05-22T13:16:00Z</dcterms:created>
  <dcterms:modified xsi:type="dcterms:W3CDTF">2020-05-22T13:16:00Z</dcterms:modified>
</cp:coreProperties>
</file>