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1A" w:rsidRPr="00983478" w:rsidRDefault="00455B1A" w:rsidP="00455B1A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20"/>
        </w:rPr>
      </w:pPr>
      <w:r w:rsidRPr="00983478">
        <w:rPr>
          <w:rFonts w:ascii="Cambria" w:hAnsi="Cambria"/>
          <w:sz w:val="19"/>
          <w:szCs w:val="20"/>
        </w:rPr>
        <w:t>2.pielikums</w:t>
      </w:r>
      <w:r>
        <w:rPr>
          <w:rFonts w:ascii="Cambria" w:hAnsi="Cambria"/>
          <w:sz w:val="19"/>
          <w:szCs w:val="20"/>
        </w:rPr>
        <w:br/>
      </w:r>
      <w:r w:rsidRPr="00983478">
        <w:rPr>
          <w:rFonts w:ascii="Cambria" w:hAnsi="Cambria"/>
          <w:sz w:val="19"/>
          <w:szCs w:val="20"/>
        </w:rPr>
        <w:t>Sabiedrisko pakalpojumu</w:t>
      </w:r>
      <w:r>
        <w:rPr>
          <w:rFonts w:ascii="Cambria" w:hAnsi="Cambria"/>
          <w:sz w:val="19"/>
          <w:szCs w:val="20"/>
        </w:rPr>
        <w:br/>
      </w:r>
      <w:r w:rsidRPr="00983478">
        <w:rPr>
          <w:rFonts w:ascii="Cambria" w:hAnsi="Cambria"/>
          <w:sz w:val="19"/>
          <w:szCs w:val="20"/>
        </w:rPr>
        <w:t xml:space="preserve"> regulēšanas komisijas</w:t>
      </w:r>
      <w:r>
        <w:rPr>
          <w:rFonts w:ascii="Cambria" w:hAnsi="Cambria"/>
          <w:sz w:val="19"/>
          <w:szCs w:val="20"/>
        </w:rPr>
        <w:t xml:space="preserve"> padomes</w:t>
      </w:r>
      <w:r>
        <w:rPr>
          <w:rFonts w:ascii="Cambria" w:hAnsi="Cambria"/>
          <w:sz w:val="19"/>
          <w:szCs w:val="20"/>
        </w:rPr>
        <w:br/>
      </w:r>
      <w:r w:rsidRPr="00983478">
        <w:rPr>
          <w:rFonts w:ascii="Cambria" w:hAnsi="Cambria"/>
          <w:sz w:val="19"/>
          <w:szCs w:val="20"/>
        </w:rPr>
        <w:t>2017.gada 30.novembra lēmumam Nr.1/31</w:t>
      </w:r>
    </w:p>
    <w:p w:rsidR="00455B1A" w:rsidRPr="00983478" w:rsidRDefault="00455B1A" w:rsidP="00455B1A">
      <w:pPr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sz w:val="22"/>
          <w:szCs w:val="24"/>
        </w:rPr>
      </w:pPr>
      <w:r w:rsidRPr="00983478">
        <w:rPr>
          <w:rFonts w:ascii="Cambria" w:eastAsia="Times New Roman" w:hAnsi="Cambria"/>
          <w:b/>
          <w:bCs/>
          <w:sz w:val="22"/>
          <w:szCs w:val="24"/>
        </w:rPr>
        <w:t>Īsziņu pakalpojuma</w:t>
      </w:r>
      <w:r w:rsidRPr="00983478">
        <w:rPr>
          <w:rStyle w:val="FootnoteReference"/>
          <w:rFonts w:ascii="Cambria" w:eastAsia="Times New Roman" w:hAnsi="Cambria"/>
          <w:b/>
          <w:bCs/>
          <w:sz w:val="22"/>
          <w:szCs w:val="24"/>
        </w:rPr>
        <w:footnoteReference w:customMarkFollows="1" w:id="1"/>
        <w:sym w:font="Symbol" w:char="F02A"/>
      </w:r>
      <w:r w:rsidRPr="00983478">
        <w:rPr>
          <w:rFonts w:ascii="Cambria" w:eastAsia="Times New Roman" w:hAnsi="Cambria"/>
          <w:b/>
          <w:bCs/>
          <w:sz w:val="22"/>
          <w:szCs w:val="24"/>
        </w:rPr>
        <w:t xml:space="preserve"> kvalitātes deklarācija</w:t>
      </w:r>
    </w:p>
    <w:p w:rsidR="00455B1A" w:rsidRPr="00983478" w:rsidRDefault="00455B1A" w:rsidP="00455B1A">
      <w:pPr>
        <w:spacing w:before="130" w:after="0" w:line="260" w:lineRule="exact"/>
        <w:ind w:firstLine="539"/>
        <w:jc w:val="both"/>
        <w:rPr>
          <w:rFonts w:ascii="Cambria" w:eastAsia="Times New Roman" w:hAnsi="Cambria"/>
          <w:bCs/>
          <w:sz w:val="19"/>
          <w:szCs w:val="16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767"/>
        <w:gridCol w:w="3595"/>
      </w:tblGrid>
      <w:tr w:rsidR="00455B1A" w:rsidRPr="00983478" w:rsidTr="0015216C">
        <w:trPr>
          <w:jc w:val="center"/>
        </w:trPr>
        <w:tc>
          <w:tcPr>
            <w:tcW w:w="4856" w:type="dxa"/>
          </w:tcPr>
          <w:p w:rsidR="00455B1A" w:rsidRPr="00983478" w:rsidRDefault="00455B1A" w:rsidP="0015216C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19"/>
                <w:szCs w:val="18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Elektronisko sakaru komersanta nosaukums</w:t>
            </w:r>
          </w:p>
        </w:tc>
        <w:tc>
          <w:tcPr>
            <w:tcW w:w="3665" w:type="dxa"/>
          </w:tcPr>
          <w:tbl>
            <w:tblPr>
              <w:tblW w:w="0" w:type="auto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3539"/>
            </w:tblGrid>
            <w:tr w:rsidR="00455B1A" w:rsidRPr="00983478" w:rsidTr="0015216C">
              <w:tc>
                <w:tcPr>
                  <w:tcW w:w="3616" w:type="dxa"/>
                  <w:shd w:val="clear" w:color="auto" w:fill="E0E0E0"/>
                </w:tcPr>
                <w:p w:rsidR="00455B1A" w:rsidRPr="00983478" w:rsidRDefault="00455B1A" w:rsidP="0015216C">
                  <w:pPr>
                    <w:spacing w:after="0" w:line="240" w:lineRule="auto"/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455B1A" w:rsidRPr="00983478" w:rsidRDefault="00455B1A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455B1A" w:rsidRPr="00983478" w:rsidTr="0015216C">
        <w:trPr>
          <w:jc w:val="center"/>
        </w:trPr>
        <w:tc>
          <w:tcPr>
            <w:tcW w:w="4856" w:type="dxa"/>
          </w:tcPr>
          <w:p w:rsidR="00455B1A" w:rsidRPr="00983478" w:rsidRDefault="00455B1A" w:rsidP="0015216C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Vienotais reģistrācijas numurs</w:t>
            </w:r>
          </w:p>
        </w:tc>
        <w:tc>
          <w:tcPr>
            <w:tcW w:w="3665" w:type="dxa"/>
          </w:tcPr>
          <w:tbl>
            <w:tblPr>
              <w:tblW w:w="0" w:type="auto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3539"/>
            </w:tblGrid>
            <w:tr w:rsidR="00455B1A" w:rsidRPr="00983478" w:rsidTr="0015216C">
              <w:tc>
                <w:tcPr>
                  <w:tcW w:w="3616" w:type="dxa"/>
                  <w:shd w:val="clear" w:color="auto" w:fill="E0E0E0"/>
                </w:tcPr>
                <w:p w:rsidR="00455B1A" w:rsidRPr="00983478" w:rsidRDefault="00455B1A" w:rsidP="0015216C">
                  <w:pPr>
                    <w:spacing w:after="0" w:line="240" w:lineRule="auto"/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455B1A" w:rsidRPr="00983478" w:rsidRDefault="00455B1A" w:rsidP="0015216C">
            <w:pPr>
              <w:spacing w:after="0" w:line="240" w:lineRule="auto"/>
              <w:rPr>
                <w:rFonts w:ascii="Cambria" w:eastAsia="Times New Roman" w:hAnsi="Cambria"/>
                <w:b/>
                <w:sz w:val="19"/>
                <w:szCs w:val="24"/>
              </w:rPr>
            </w:pPr>
          </w:p>
        </w:tc>
      </w:tr>
      <w:tr w:rsidR="00455B1A" w:rsidRPr="00983478" w:rsidTr="0015216C">
        <w:trPr>
          <w:jc w:val="center"/>
        </w:trPr>
        <w:tc>
          <w:tcPr>
            <w:tcW w:w="4856" w:type="dxa"/>
          </w:tcPr>
          <w:p w:rsidR="00455B1A" w:rsidRPr="00983478" w:rsidRDefault="00455B1A" w:rsidP="0015216C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19"/>
                <w:szCs w:val="18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Deklarācijas gads</w:t>
            </w:r>
          </w:p>
        </w:tc>
        <w:tc>
          <w:tcPr>
            <w:tcW w:w="3665" w:type="dxa"/>
          </w:tcPr>
          <w:tbl>
            <w:tblPr>
              <w:tblW w:w="0" w:type="auto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3539"/>
            </w:tblGrid>
            <w:tr w:rsidR="00455B1A" w:rsidRPr="00983478" w:rsidTr="0015216C">
              <w:tc>
                <w:tcPr>
                  <w:tcW w:w="3616" w:type="dxa"/>
                  <w:shd w:val="clear" w:color="auto" w:fill="E0E0E0"/>
                </w:tcPr>
                <w:p w:rsidR="00455B1A" w:rsidRPr="00983478" w:rsidRDefault="00455B1A" w:rsidP="0015216C">
                  <w:pPr>
                    <w:spacing w:after="0" w:line="240" w:lineRule="auto"/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b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455B1A" w:rsidRPr="00983478" w:rsidRDefault="00455B1A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</w:tbl>
    <w:p w:rsidR="00455B1A" w:rsidRPr="00983478" w:rsidRDefault="00455B1A" w:rsidP="00455B1A">
      <w:pPr>
        <w:spacing w:before="130" w:after="0" w:line="260" w:lineRule="exact"/>
        <w:ind w:firstLine="539"/>
        <w:jc w:val="both"/>
        <w:rPr>
          <w:rFonts w:ascii="Cambria" w:eastAsia="Times New Roman" w:hAnsi="Cambria"/>
          <w:bCs/>
          <w:sz w:val="19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0"/>
        <w:gridCol w:w="2862"/>
      </w:tblGrid>
      <w:tr w:rsidR="00455B1A" w:rsidRPr="00983478" w:rsidTr="0015216C">
        <w:trPr>
          <w:cantSplit/>
        </w:trPr>
        <w:tc>
          <w:tcPr>
            <w:tcW w:w="5457" w:type="dxa"/>
            <w:vAlign w:val="center"/>
          </w:tcPr>
          <w:p w:rsidR="00455B1A" w:rsidRPr="00983478" w:rsidRDefault="00455B1A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Pakalpojumu kvalitātes parametrs</w:t>
            </w:r>
          </w:p>
        </w:tc>
        <w:tc>
          <w:tcPr>
            <w:tcW w:w="2839" w:type="dxa"/>
            <w:vAlign w:val="center"/>
          </w:tcPr>
          <w:p w:rsidR="00455B1A" w:rsidRPr="00983478" w:rsidRDefault="00455B1A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b/>
                <w:bCs/>
                <w:sz w:val="19"/>
                <w:szCs w:val="24"/>
              </w:rPr>
              <w:t>Pakalpojumu kvalitātes parametra vērtība</w:t>
            </w:r>
          </w:p>
        </w:tc>
      </w:tr>
      <w:tr w:rsidR="00455B1A" w:rsidRPr="00983478" w:rsidTr="0015216C">
        <w:trPr>
          <w:cantSplit/>
        </w:trPr>
        <w:tc>
          <w:tcPr>
            <w:tcW w:w="5457" w:type="dxa"/>
            <w:vAlign w:val="center"/>
          </w:tcPr>
          <w:p w:rsidR="00455B1A" w:rsidRPr="00983478" w:rsidRDefault="00455B1A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1. Nesekmīgi sūtīto īsziņu koeficients procentos</w:t>
            </w:r>
            <w:r w:rsidRPr="00983478">
              <w:rPr>
                <w:rFonts w:ascii="Cambria" w:eastAsia="Times New Roman" w:hAnsi="Cambria"/>
                <w:sz w:val="19"/>
                <w:szCs w:val="24"/>
                <w:vertAlign w:val="superscript"/>
              </w:rPr>
              <w:t>(1)</w:t>
            </w:r>
          </w:p>
        </w:tc>
        <w:tc>
          <w:tcPr>
            <w:tcW w:w="2839" w:type="dxa"/>
            <w:vAlign w:val="center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60"/>
              <w:gridCol w:w="691"/>
            </w:tblGrid>
            <w:tr w:rsidR="00455B1A" w:rsidRPr="00983478" w:rsidTr="0015216C">
              <w:trPr>
                <w:jc w:val="center"/>
              </w:trPr>
              <w:tc>
                <w:tcPr>
                  <w:tcW w:w="360" w:type="dxa"/>
                </w:tcPr>
                <w:p w:rsidR="00455B1A" w:rsidRPr="00983478" w:rsidRDefault="00455B1A" w:rsidP="0015216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4"/>
                        <w:enabled/>
                        <w:calcOnExit w:val="0"/>
                        <w:textInput>
                          <w:default w:val="≤"/>
                          <w:maxLength w:val="1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≤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  <w:tc>
                <w:tcPr>
                  <w:tcW w:w="528" w:type="dxa"/>
                </w:tcPr>
                <w:p w:rsidR="00455B1A" w:rsidRPr="00983478" w:rsidRDefault="00455B1A" w:rsidP="0015216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455B1A" w:rsidRPr="00983478" w:rsidRDefault="00455B1A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455B1A" w:rsidRPr="00983478" w:rsidTr="0015216C">
        <w:trPr>
          <w:cantSplit/>
        </w:trPr>
        <w:tc>
          <w:tcPr>
            <w:tcW w:w="5457" w:type="dxa"/>
            <w:vAlign w:val="center"/>
          </w:tcPr>
          <w:p w:rsidR="00455B1A" w:rsidRPr="00983478" w:rsidRDefault="00455B1A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2. Vidējais īsziņas sūtīšanas laiks sekundēs</w:t>
            </w:r>
            <w:r w:rsidRPr="00983478">
              <w:rPr>
                <w:rFonts w:ascii="Cambria" w:eastAsia="Times New Roman" w:hAnsi="Cambria"/>
                <w:sz w:val="19"/>
                <w:szCs w:val="24"/>
                <w:vertAlign w:val="superscript"/>
              </w:rPr>
              <w:t>(2)</w:t>
            </w:r>
          </w:p>
        </w:tc>
        <w:tc>
          <w:tcPr>
            <w:tcW w:w="2839" w:type="dxa"/>
            <w:vAlign w:val="center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60"/>
              <w:gridCol w:w="691"/>
            </w:tblGrid>
            <w:tr w:rsidR="00455B1A" w:rsidRPr="00983478" w:rsidTr="0015216C">
              <w:trPr>
                <w:jc w:val="center"/>
              </w:trPr>
              <w:tc>
                <w:tcPr>
                  <w:tcW w:w="360" w:type="dxa"/>
                </w:tcPr>
                <w:p w:rsidR="00455B1A" w:rsidRPr="00983478" w:rsidRDefault="00455B1A" w:rsidP="0015216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right"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4"/>
                        <w:enabled/>
                        <w:calcOnExit w:val="0"/>
                        <w:textInput>
                          <w:default w:val="≤"/>
                          <w:maxLength w:val="1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≤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  <w:tc>
                <w:tcPr>
                  <w:tcW w:w="528" w:type="dxa"/>
                </w:tcPr>
                <w:p w:rsidR="00455B1A" w:rsidRPr="00983478" w:rsidRDefault="00455B1A" w:rsidP="0015216C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pP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begin">
                      <w:ffData>
                        <w:name w:val="Teksts1"/>
                        <w:enabled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instrText xml:space="preserve"> FORMTEXT </w:instrTex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separate"/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t> </w:t>
                  </w:r>
                  <w:r w:rsidRPr="00983478">
                    <w:rPr>
                      <w:rFonts w:ascii="Cambria" w:eastAsia="Times New Roman" w:hAnsi="Cambria"/>
                      <w:noProof/>
                      <w:sz w:val="19"/>
                      <w:szCs w:val="24"/>
                    </w:rPr>
                    <w:fldChar w:fldCharType="end"/>
                  </w:r>
                </w:p>
              </w:tc>
            </w:tr>
          </w:tbl>
          <w:p w:rsidR="00455B1A" w:rsidRPr="00983478" w:rsidRDefault="00455B1A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</w:tbl>
    <w:p w:rsidR="00455B1A" w:rsidRPr="00C144EE" w:rsidRDefault="00455B1A" w:rsidP="00455B1A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</w:rPr>
      </w:pPr>
      <w:r w:rsidRPr="00C144EE">
        <w:rPr>
          <w:rFonts w:ascii="Cambria" w:eastAsia="Times New Roman" w:hAnsi="Cambria"/>
          <w:sz w:val="17"/>
          <w:szCs w:val="17"/>
          <w:vertAlign w:val="superscript"/>
        </w:rPr>
        <w:t xml:space="preserve">(1) </w:t>
      </w:r>
      <w:r w:rsidRPr="00C144EE">
        <w:rPr>
          <w:rFonts w:ascii="Cambria" w:eastAsia="Times New Roman" w:hAnsi="Cambria"/>
          <w:sz w:val="17"/>
          <w:szCs w:val="17"/>
        </w:rPr>
        <w:t>Nesekmīgi sūtīto īsziņu koeficients – parametrs, kas procentos nosaka nesekmīgi sūtīto īsziņu skaita attiecību pret kopējo sūtīto īsziņu skaitu.</w:t>
      </w:r>
    </w:p>
    <w:p w:rsidR="00455B1A" w:rsidRPr="00983478" w:rsidRDefault="00455B1A" w:rsidP="00455B1A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983478">
        <w:rPr>
          <w:rFonts w:ascii="Cambria" w:eastAsia="Times New Roman" w:hAnsi="Cambria"/>
          <w:sz w:val="19"/>
          <w:szCs w:val="24"/>
        </w:rPr>
        <w:t>Nesekmīgi sūtīta īsziņa:</w:t>
      </w:r>
    </w:p>
    <w:p w:rsidR="00455B1A" w:rsidRPr="00983478" w:rsidRDefault="00455B1A" w:rsidP="00455B1A">
      <w:pPr>
        <w:tabs>
          <w:tab w:val="left" w:pos="851"/>
        </w:tabs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983478">
        <w:rPr>
          <w:rFonts w:ascii="Cambria" w:eastAsia="Times New Roman" w:hAnsi="Cambria"/>
          <w:sz w:val="19"/>
          <w:szCs w:val="24"/>
        </w:rPr>
        <w:t>1</w:t>
      </w:r>
      <w:r>
        <w:rPr>
          <w:rFonts w:ascii="Cambria" w:eastAsia="Times New Roman" w:hAnsi="Cambria"/>
          <w:sz w:val="19"/>
          <w:szCs w:val="24"/>
        </w:rPr>
        <w:t xml:space="preserve">) </w:t>
      </w:r>
      <w:r w:rsidRPr="00983478">
        <w:rPr>
          <w:rFonts w:ascii="Cambria" w:eastAsia="Times New Roman" w:hAnsi="Cambria"/>
          <w:sz w:val="19"/>
          <w:szCs w:val="24"/>
        </w:rPr>
        <w:t>īsziņas teksta sūtīšanas mēģinājums uz pareizi sastādītu, galalietotājam lietošanā piešķirtu numuru, konstatējot paziņojumu, ka īsziņu nosūtīt neizdevās;</w:t>
      </w:r>
    </w:p>
    <w:p w:rsidR="00455B1A" w:rsidRPr="00983478" w:rsidRDefault="00455B1A" w:rsidP="00455B1A">
      <w:pPr>
        <w:tabs>
          <w:tab w:val="left" w:pos="851"/>
        </w:tabs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983478">
        <w:rPr>
          <w:rFonts w:ascii="Cambria" w:eastAsia="Times New Roman" w:hAnsi="Cambria"/>
          <w:sz w:val="19"/>
          <w:szCs w:val="24"/>
        </w:rPr>
        <w:t>2</w:t>
      </w:r>
      <w:r>
        <w:rPr>
          <w:rFonts w:ascii="Cambria" w:eastAsia="Times New Roman" w:hAnsi="Cambria"/>
          <w:sz w:val="19"/>
          <w:szCs w:val="24"/>
        </w:rPr>
        <w:t xml:space="preserve">) </w:t>
      </w:r>
      <w:r w:rsidRPr="00983478">
        <w:rPr>
          <w:rFonts w:ascii="Cambria" w:eastAsia="Times New Roman" w:hAnsi="Cambria"/>
          <w:sz w:val="19"/>
          <w:szCs w:val="24"/>
        </w:rPr>
        <w:t>īsziņas teksta sūtīšanas mēģinājums uz pareizi sastādītu, galalietotājam lietošanā piešķirtu numuru, adresātam 300 sekunžu laikā nesaņemot īsziņu.</w:t>
      </w:r>
    </w:p>
    <w:p w:rsidR="00455B1A" w:rsidRPr="00C144EE" w:rsidRDefault="00455B1A" w:rsidP="00455B1A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</w:rPr>
      </w:pPr>
      <w:r w:rsidRPr="00C144EE">
        <w:rPr>
          <w:rFonts w:ascii="Cambria" w:eastAsia="Times New Roman" w:hAnsi="Cambria"/>
          <w:sz w:val="17"/>
          <w:szCs w:val="17"/>
          <w:vertAlign w:val="superscript"/>
        </w:rPr>
        <w:t xml:space="preserve">(2) </w:t>
      </w:r>
      <w:r w:rsidRPr="00C144EE">
        <w:rPr>
          <w:rFonts w:ascii="Cambria" w:eastAsia="Times New Roman" w:hAnsi="Cambria"/>
          <w:sz w:val="17"/>
          <w:szCs w:val="17"/>
        </w:rPr>
        <w:t>Vidējais īsziņas sūtīšanas laiks – parametrs, kas sekundēs nosaka kopējo īsziņu sūtīšanas laiku summas attiecību pret kopējo sekmīgi adresātam piegādāto īsziņu skaitu.</w:t>
      </w:r>
    </w:p>
    <w:p w:rsidR="00455B1A" w:rsidRDefault="00455B1A" w:rsidP="00455B1A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  <w:r w:rsidRPr="00983478">
        <w:rPr>
          <w:rFonts w:ascii="Cambria" w:eastAsia="Times New Roman" w:hAnsi="Cambria"/>
          <w:sz w:val="19"/>
          <w:szCs w:val="24"/>
        </w:rPr>
        <w:t xml:space="preserve">Īsziņas sūtīšanas laiks – </w:t>
      </w:r>
      <w:bookmarkStart w:id="0" w:name="_GoBack"/>
      <w:bookmarkEnd w:id="0"/>
      <w:r w:rsidRPr="00983478">
        <w:rPr>
          <w:rFonts w:ascii="Cambria" w:eastAsia="Times New Roman" w:hAnsi="Cambria"/>
          <w:sz w:val="19"/>
          <w:szCs w:val="24"/>
        </w:rPr>
        <w:t>parametrs, kas sekundēs nosaka laika posmu no īsziņas teksta un numura nosūtīšanas brīža līdz brīdim, kad īsziņa piegādāta adresātam.</w:t>
      </w:r>
    </w:p>
    <w:p w:rsidR="00455B1A" w:rsidRPr="00983478" w:rsidRDefault="00455B1A" w:rsidP="00455B1A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14"/>
        <w:gridCol w:w="214"/>
        <w:gridCol w:w="410"/>
        <w:gridCol w:w="430"/>
        <w:gridCol w:w="671"/>
        <w:gridCol w:w="1523"/>
        <w:gridCol w:w="4300"/>
      </w:tblGrid>
      <w:tr w:rsidR="00455B1A" w:rsidRPr="00983478" w:rsidTr="0015216C">
        <w:trPr>
          <w:jc w:val="center"/>
        </w:trPr>
        <w:tc>
          <w:tcPr>
            <w:tcW w:w="1099" w:type="dxa"/>
            <w:gridSpan w:val="2"/>
            <w:vAlign w:val="bottom"/>
          </w:tcPr>
          <w:p w:rsidR="00455B1A" w:rsidRPr="00983478" w:rsidRDefault="00455B1A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Datums</w:t>
            </w:r>
          </w:p>
        </w:tc>
        <w:tc>
          <w:tcPr>
            <w:tcW w:w="446" w:type="dxa"/>
            <w:vAlign w:val="center"/>
          </w:tcPr>
          <w:p w:rsidR="00455B1A" w:rsidRPr="00983478" w:rsidRDefault="00455B1A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471" w:type="dxa"/>
            <w:vAlign w:val="center"/>
          </w:tcPr>
          <w:p w:rsidR="00455B1A" w:rsidRPr="00983478" w:rsidRDefault="00455B1A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733" w:type="dxa"/>
            <w:vAlign w:val="center"/>
          </w:tcPr>
          <w:p w:rsidR="00455B1A" w:rsidRPr="00983478" w:rsidRDefault="00455B1A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4"/>
              </w:rPr>
              <w:t>____</w:t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983478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1830" w:type="dxa"/>
            <w:vAlign w:val="bottom"/>
          </w:tcPr>
          <w:p w:rsidR="00455B1A" w:rsidRPr="00983478" w:rsidRDefault="00455B1A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5002" w:type="dxa"/>
            <w:vAlign w:val="center"/>
          </w:tcPr>
          <w:p w:rsidR="00455B1A" w:rsidRPr="00983478" w:rsidRDefault="00455B1A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455B1A" w:rsidRPr="00983478" w:rsidTr="0015216C">
        <w:trPr>
          <w:jc w:val="center"/>
        </w:trPr>
        <w:tc>
          <w:tcPr>
            <w:tcW w:w="4579" w:type="dxa"/>
            <w:gridSpan w:val="6"/>
          </w:tcPr>
          <w:p w:rsidR="00455B1A" w:rsidRPr="00983478" w:rsidRDefault="00455B1A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5002" w:type="dxa"/>
          </w:tcPr>
          <w:p w:rsidR="00455B1A" w:rsidRPr="00983478" w:rsidRDefault="00455B1A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455B1A" w:rsidRPr="00983478" w:rsidTr="0015216C">
        <w:trPr>
          <w:jc w:val="center"/>
        </w:trPr>
        <w:tc>
          <w:tcPr>
            <w:tcW w:w="4579" w:type="dxa"/>
            <w:gridSpan w:val="6"/>
            <w:vAlign w:val="center"/>
          </w:tcPr>
          <w:p w:rsidR="00455B1A" w:rsidRPr="00983478" w:rsidRDefault="00455B1A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Persona,</w:t>
            </w:r>
          </w:p>
          <w:p w:rsidR="00455B1A" w:rsidRPr="00983478" w:rsidRDefault="00455B1A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kura tiesīga pārstāvēt komersantu</w:t>
            </w:r>
          </w:p>
        </w:tc>
        <w:tc>
          <w:tcPr>
            <w:tcW w:w="5002" w:type="dxa"/>
            <w:tcBorders>
              <w:bottom w:val="single" w:sz="4" w:space="0" w:color="auto"/>
            </w:tcBorders>
            <w:vAlign w:val="center"/>
          </w:tcPr>
          <w:p w:rsidR="00455B1A" w:rsidRPr="00983478" w:rsidRDefault="00455B1A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455B1A" w:rsidRPr="00983478" w:rsidTr="0015216C">
        <w:trPr>
          <w:jc w:val="center"/>
        </w:trPr>
        <w:tc>
          <w:tcPr>
            <w:tcW w:w="4579" w:type="dxa"/>
            <w:gridSpan w:val="6"/>
          </w:tcPr>
          <w:p w:rsidR="00455B1A" w:rsidRPr="00983478" w:rsidRDefault="00455B1A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5002" w:type="dxa"/>
            <w:tcBorders>
              <w:top w:val="single" w:sz="4" w:space="0" w:color="auto"/>
            </w:tcBorders>
          </w:tcPr>
          <w:p w:rsidR="00455B1A" w:rsidRPr="00983478" w:rsidRDefault="00455B1A" w:rsidP="0015216C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983478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455B1A" w:rsidRPr="00983478" w:rsidTr="0015216C">
        <w:trPr>
          <w:jc w:val="center"/>
        </w:trPr>
        <w:tc>
          <w:tcPr>
            <w:tcW w:w="4579" w:type="dxa"/>
            <w:gridSpan w:val="6"/>
            <w:tcBorders>
              <w:bottom w:val="single" w:sz="4" w:space="0" w:color="auto"/>
            </w:tcBorders>
          </w:tcPr>
          <w:p w:rsidR="00455B1A" w:rsidRPr="00983478" w:rsidRDefault="00455B1A" w:rsidP="0015216C">
            <w:pPr>
              <w:tabs>
                <w:tab w:val="left" w:pos="360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0"/>
              </w:rPr>
            </w:pPr>
          </w:p>
          <w:p w:rsidR="00455B1A" w:rsidRPr="00983478" w:rsidRDefault="00455B1A" w:rsidP="0015216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20"/>
              </w:rPr>
            </w:pP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begin">
                <w:ffData>
                  <w:name w:val="Teksts9"/>
                  <w:enabled/>
                  <w:calcOnExit w:val="0"/>
                  <w:textInput/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end"/>
            </w:r>
          </w:p>
        </w:tc>
        <w:tc>
          <w:tcPr>
            <w:tcW w:w="5002" w:type="dxa"/>
          </w:tcPr>
          <w:p w:rsidR="00455B1A" w:rsidRPr="00983478" w:rsidRDefault="00455B1A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0"/>
              </w:rPr>
            </w:pPr>
          </w:p>
        </w:tc>
      </w:tr>
      <w:tr w:rsidR="00455B1A" w:rsidRPr="00983478" w:rsidTr="0015216C">
        <w:trPr>
          <w:jc w:val="center"/>
        </w:trPr>
        <w:tc>
          <w:tcPr>
            <w:tcW w:w="4579" w:type="dxa"/>
            <w:gridSpan w:val="6"/>
            <w:tcBorders>
              <w:top w:val="single" w:sz="4" w:space="0" w:color="auto"/>
            </w:tcBorders>
          </w:tcPr>
          <w:p w:rsidR="00455B1A" w:rsidRPr="00983478" w:rsidRDefault="00455B1A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983478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5002" w:type="dxa"/>
          </w:tcPr>
          <w:p w:rsidR="00455B1A" w:rsidRPr="00983478" w:rsidRDefault="00455B1A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7"/>
                <w:szCs w:val="17"/>
              </w:rPr>
            </w:pPr>
          </w:p>
        </w:tc>
      </w:tr>
      <w:tr w:rsidR="00455B1A" w:rsidRPr="00983478" w:rsidTr="0015216C">
        <w:trPr>
          <w:jc w:val="center"/>
        </w:trPr>
        <w:tc>
          <w:tcPr>
            <w:tcW w:w="841" w:type="dxa"/>
            <w:vAlign w:val="bottom"/>
          </w:tcPr>
          <w:p w:rsidR="00455B1A" w:rsidRPr="00983478" w:rsidRDefault="00455B1A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tālrunis</w:t>
            </w:r>
          </w:p>
        </w:tc>
        <w:tc>
          <w:tcPr>
            <w:tcW w:w="3738" w:type="dxa"/>
            <w:gridSpan w:val="5"/>
            <w:tcBorders>
              <w:bottom w:val="single" w:sz="4" w:space="0" w:color="auto"/>
            </w:tcBorders>
            <w:vAlign w:val="bottom"/>
          </w:tcPr>
          <w:p w:rsidR="00455B1A" w:rsidRPr="00983478" w:rsidRDefault="00455B1A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0"/>
              </w:rPr>
            </w:pP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end"/>
            </w:r>
          </w:p>
        </w:tc>
        <w:tc>
          <w:tcPr>
            <w:tcW w:w="5002" w:type="dxa"/>
          </w:tcPr>
          <w:p w:rsidR="00455B1A" w:rsidRPr="00983478" w:rsidRDefault="00455B1A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16"/>
              </w:rPr>
            </w:pPr>
          </w:p>
        </w:tc>
      </w:tr>
      <w:tr w:rsidR="00455B1A" w:rsidRPr="00983478" w:rsidTr="0015216C">
        <w:trPr>
          <w:jc w:val="center"/>
        </w:trPr>
        <w:tc>
          <w:tcPr>
            <w:tcW w:w="841" w:type="dxa"/>
            <w:vAlign w:val="bottom"/>
          </w:tcPr>
          <w:p w:rsidR="00455B1A" w:rsidRPr="00983478" w:rsidRDefault="00455B1A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3738" w:type="dxa"/>
            <w:gridSpan w:val="5"/>
            <w:vAlign w:val="bottom"/>
          </w:tcPr>
          <w:p w:rsidR="00455B1A" w:rsidRPr="00983478" w:rsidRDefault="00455B1A" w:rsidP="0015216C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5002" w:type="dxa"/>
          </w:tcPr>
          <w:p w:rsidR="00455B1A" w:rsidRPr="00983478" w:rsidRDefault="00455B1A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8"/>
              </w:rPr>
            </w:pPr>
          </w:p>
        </w:tc>
      </w:tr>
      <w:tr w:rsidR="00455B1A" w:rsidRPr="00983478" w:rsidTr="0015216C">
        <w:trPr>
          <w:jc w:val="center"/>
        </w:trPr>
        <w:tc>
          <w:tcPr>
            <w:tcW w:w="841" w:type="dxa"/>
            <w:vAlign w:val="bottom"/>
          </w:tcPr>
          <w:p w:rsidR="00455B1A" w:rsidRPr="00983478" w:rsidRDefault="00455B1A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4"/>
              </w:rPr>
              <w:t>e-pasts</w:t>
            </w:r>
          </w:p>
        </w:tc>
        <w:tc>
          <w:tcPr>
            <w:tcW w:w="3738" w:type="dxa"/>
            <w:gridSpan w:val="5"/>
            <w:tcBorders>
              <w:bottom w:val="single" w:sz="4" w:space="0" w:color="auto"/>
            </w:tcBorders>
            <w:vAlign w:val="bottom"/>
          </w:tcPr>
          <w:p w:rsidR="00455B1A" w:rsidRPr="00983478" w:rsidRDefault="00455B1A" w:rsidP="0015216C">
            <w:pPr>
              <w:spacing w:after="0" w:line="240" w:lineRule="auto"/>
              <w:rPr>
                <w:rFonts w:ascii="Cambria" w:eastAsia="Times New Roman" w:hAnsi="Cambria"/>
                <w:sz w:val="19"/>
                <w:szCs w:val="24"/>
              </w:rPr>
            </w:pP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instrText xml:space="preserve"> FORMTEXT </w:instrText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separate"/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noProof/>
                <w:sz w:val="19"/>
                <w:szCs w:val="20"/>
              </w:rPr>
              <w:t> </w:t>
            </w:r>
            <w:r w:rsidRPr="00983478">
              <w:rPr>
                <w:rFonts w:ascii="Cambria" w:eastAsia="Times New Roman" w:hAnsi="Cambria"/>
                <w:sz w:val="19"/>
                <w:szCs w:val="20"/>
              </w:rPr>
              <w:fldChar w:fldCharType="end"/>
            </w:r>
          </w:p>
        </w:tc>
        <w:tc>
          <w:tcPr>
            <w:tcW w:w="5002" w:type="dxa"/>
          </w:tcPr>
          <w:p w:rsidR="00455B1A" w:rsidRPr="00983478" w:rsidRDefault="00455B1A" w:rsidP="0015216C">
            <w:pPr>
              <w:tabs>
                <w:tab w:val="left" w:pos="3960"/>
              </w:tabs>
              <w:spacing w:after="0" w:line="240" w:lineRule="auto"/>
              <w:rPr>
                <w:rFonts w:ascii="Cambria" w:eastAsia="Times New Roman" w:hAnsi="Cambria"/>
                <w:sz w:val="19"/>
                <w:szCs w:val="20"/>
              </w:rPr>
            </w:pPr>
          </w:p>
        </w:tc>
      </w:tr>
    </w:tbl>
    <w:p w:rsidR="00F31E5C" w:rsidRDefault="00F31E5C"/>
    <w:sectPr w:rsidR="00F31E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1A" w:rsidRDefault="00455B1A" w:rsidP="00455B1A">
      <w:pPr>
        <w:spacing w:after="0" w:line="240" w:lineRule="auto"/>
      </w:pPr>
      <w:r>
        <w:separator/>
      </w:r>
    </w:p>
  </w:endnote>
  <w:endnote w:type="continuationSeparator" w:id="0">
    <w:p w:rsidR="00455B1A" w:rsidRDefault="00455B1A" w:rsidP="0045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1A" w:rsidRDefault="00455B1A" w:rsidP="00455B1A">
      <w:pPr>
        <w:spacing w:after="0" w:line="240" w:lineRule="auto"/>
      </w:pPr>
      <w:r>
        <w:separator/>
      </w:r>
    </w:p>
  </w:footnote>
  <w:footnote w:type="continuationSeparator" w:id="0">
    <w:p w:rsidR="00455B1A" w:rsidRDefault="00455B1A" w:rsidP="00455B1A">
      <w:pPr>
        <w:spacing w:after="0" w:line="240" w:lineRule="auto"/>
      </w:pPr>
      <w:r>
        <w:continuationSeparator/>
      </w:r>
    </w:p>
  </w:footnote>
  <w:footnote w:id="1">
    <w:p w:rsidR="00455B1A" w:rsidRPr="00983478" w:rsidRDefault="00455B1A" w:rsidP="00455B1A">
      <w:pPr>
        <w:pStyle w:val="FootnoteText"/>
        <w:jc w:val="both"/>
        <w:rPr>
          <w:rFonts w:ascii="Cambria" w:hAnsi="Cambria"/>
          <w:sz w:val="16"/>
          <w:szCs w:val="16"/>
        </w:rPr>
      </w:pPr>
      <w:r w:rsidRPr="00983478">
        <w:rPr>
          <w:rStyle w:val="FootnoteReference"/>
          <w:rFonts w:ascii="Cambria" w:hAnsi="Cambria"/>
          <w:sz w:val="16"/>
          <w:szCs w:val="16"/>
        </w:rPr>
        <w:sym w:font="Symbol" w:char="F02A"/>
      </w:r>
      <w:r w:rsidRPr="00983478">
        <w:rPr>
          <w:rFonts w:ascii="Cambria" w:eastAsia="Times New Roman" w:hAnsi="Cambria"/>
          <w:sz w:val="16"/>
          <w:szCs w:val="16"/>
        </w:rPr>
        <w:t>elektronisko ziņojumu pārraides pakalpojums mobilā elektronisko sakaru</w:t>
      </w:r>
      <w:r w:rsidRPr="00983478" w:rsidDel="001E3D38">
        <w:rPr>
          <w:rFonts w:ascii="Cambria" w:eastAsia="Times New Roman" w:hAnsi="Cambria"/>
          <w:sz w:val="16"/>
          <w:szCs w:val="16"/>
        </w:rPr>
        <w:t xml:space="preserve"> </w:t>
      </w:r>
      <w:r w:rsidRPr="00983478">
        <w:rPr>
          <w:rFonts w:ascii="Cambria" w:eastAsia="Times New Roman" w:hAnsi="Cambria"/>
          <w:sz w:val="16"/>
          <w:szCs w:val="16"/>
        </w:rPr>
        <w:t>tīklā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1A"/>
    <w:rsid w:val="00455B1A"/>
    <w:rsid w:val="00F3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B1A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55B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5B1A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55B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B1A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55B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5B1A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55B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597</Characters>
  <Application>Microsoft Office Word</Application>
  <DocSecurity>0</DocSecurity>
  <Lines>4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sandra.spulge</cp:lastModifiedBy>
  <cp:revision>1</cp:revision>
  <dcterms:created xsi:type="dcterms:W3CDTF">2017-12-08T07:10:00Z</dcterms:created>
  <dcterms:modified xsi:type="dcterms:W3CDTF">2017-12-08T07:10:00Z</dcterms:modified>
</cp:coreProperties>
</file>