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04A" w:rsidRPr="0082704A" w:rsidRDefault="00FC002E" w:rsidP="0082704A">
      <w:pPr>
        <w:spacing w:after="90" w:line="259" w:lineRule="auto"/>
        <w:ind w:left="10" w:right="62" w:hanging="10"/>
        <w:jc w:val="right"/>
        <w:rPr>
          <w:sz w:val="20"/>
          <w:szCs w:val="20"/>
        </w:rPr>
      </w:pPr>
      <w:r>
        <w:rPr>
          <w:sz w:val="20"/>
          <w:szCs w:val="20"/>
        </w:rPr>
        <w:t>12</w:t>
      </w:r>
      <w:r w:rsidR="008A5799">
        <w:rPr>
          <w:sz w:val="20"/>
          <w:szCs w:val="20"/>
        </w:rPr>
        <w:t>.05</w:t>
      </w:r>
      <w:r w:rsidR="000F54EC">
        <w:rPr>
          <w:sz w:val="20"/>
          <w:szCs w:val="20"/>
        </w:rPr>
        <w:t>.2020</w:t>
      </w:r>
      <w:r w:rsidR="0082704A" w:rsidRPr="0082704A">
        <w:rPr>
          <w:sz w:val="20"/>
          <w:szCs w:val="20"/>
        </w:rPr>
        <w:t>.</w:t>
      </w:r>
    </w:p>
    <w:p w:rsidR="0082704A" w:rsidRDefault="0082704A" w:rsidP="0082704A">
      <w:pPr>
        <w:spacing w:after="90" w:line="259" w:lineRule="auto"/>
        <w:ind w:left="10" w:right="62" w:hanging="10"/>
        <w:jc w:val="right"/>
        <w:rPr>
          <w:b/>
        </w:rPr>
      </w:pPr>
    </w:p>
    <w:p w:rsidR="0051108F" w:rsidRPr="0051108F" w:rsidRDefault="003F712D" w:rsidP="0051108F">
      <w:pPr>
        <w:spacing w:after="90" w:line="259" w:lineRule="auto"/>
        <w:ind w:left="10" w:right="62" w:hanging="10"/>
        <w:jc w:val="center"/>
        <w:rPr>
          <w:b/>
        </w:rPr>
      </w:pPr>
      <w:r>
        <w:rPr>
          <w:b/>
        </w:rPr>
        <w:t xml:space="preserve">Kopsavilkums par </w:t>
      </w:r>
      <w:r w:rsidR="0051108F" w:rsidRPr="0051108F">
        <w:rPr>
          <w:b/>
        </w:rPr>
        <w:t>SIA ,,Ogres Namsaimnieks” siltumenerģijas</w:t>
      </w:r>
    </w:p>
    <w:p w:rsidR="007B0F36" w:rsidRDefault="0051108F" w:rsidP="0051108F">
      <w:pPr>
        <w:spacing w:after="90" w:line="259" w:lineRule="auto"/>
        <w:ind w:left="10" w:right="62" w:hanging="10"/>
        <w:jc w:val="center"/>
      </w:pPr>
      <w:r w:rsidRPr="0051108F">
        <w:rPr>
          <w:b/>
        </w:rPr>
        <w:t>apgādes pakalpojumu tarifu projektu</w:t>
      </w:r>
    </w:p>
    <w:p w:rsidR="007B0F36" w:rsidRDefault="003F712D" w:rsidP="0051108F">
      <w:pPr>
        <w:spacing w:after="38" w:line="259" w:lineRule="auto"/>
        <w:ind w:right="0" w:firstLine="0"/>
        <w:jc w:val="right"/>
      </w:pPr>
      <w:r>
        <w:t xml:space="preserve"> </w:t>
      </w:r>
    </w:p>
    <w:p w:rsidR="007B0F36" w:rsidRDefault="0051108F">
      <w:pPr>
        <w:ind w:left="-15" w:right="47"/>
      </w:pPr>
      <w:r>
        <w:t>S</w:t>
      </w:r>
      <w:r w:rsidRPr="00807999">
        <w:t>abiedrība</w:t>
      </w:r>
      <w:r>
        <w:t>s</w:t>
      </w:r>
      <w:r w:rsidRPr="00807999">
        <w:t xml:space="preserve"> ar </w:t>
      </w:r>
      <w:r w:rsidRPr="00DA4E6E">
        <w:t xml:space="preserve">ierobežotu </w:t>
      </w:r>
      <w:r w:rsidRPr="008C7E73">
        <w:t xml:space="preserve">atbildību </w:t>
      </w:r>
      <w:r>
        <w:t>,,</w:t>
      </w:r>
      <w:r w:rsidRPr="0020685E">
        <w:t>Ogres Namsaimnieks</w:t>
      </w:r>
      <w:r>
        <w:t xml:space="preserve">” </w:t>
      </w:r>
      <w:r w:rsidR="00EE1238">
        <w:t>(turpmāk –</w:t>
      </w:r>
      <w:r w:rsidR="0082704A">
        <w:t xml:space="preserve"> </w:t>
      </w:r>
      <w:r w:rsidRPr="00DB7B94">
        <w:t>SIA</w:t>
      </w:r>
      <w:r>
        <w:t xml:space="preserve"> ,,</w:t>
      </w:r>
      <w:r w:rsidRPr="0020685E">
        <w:t>Ogres Namsaimnieks</w:t>
      </w:r>
      <w:r>
        <w:t>”</w:t>
      </w:r>
      <w:r w:rsidR="00247FF6">
        <w:t>)</w:t>
      </w:r>
      <w:r w:rsidR="00EE1238">
        <w:t xml:space="preserve"> </w:t>
      </w:r>
      <w:r w:rsidR="003F712D">
        <w:t>siltumenerģijas apgādes tarifu projekts iesniegts Sabiedrisko pakalpojumu regulēšanas komisijā (turpmāk – Regulators) 201</w:t>
      </w:r>
      <w:r>
        <w:t>9</w:t>
      </w:r>
      <w:r w:rsidR="003F712D">
        <w:t xml:space="preserve">.gada </w:t>
      </w:r>
      <w:r>
        <w:t>22.maijā</w:t>
      </w:r>
      <w:r w:rsidR="000413D4">
        <w:t xml:space="preserve"> </w:t>
      </w:r>
      <w:r w:rsidR="000413D4" w:rsidRPr="003C2767">
        <w:t xml:space="preserve">un </w:t>
      </w:r>
      <w:r w:rsidR="000F54EC" w:rsidRPr="000F54EC">
        <w:t>2019.gada 30.maijā, 6.augustā, 3.oktobrī, 7.oktobrī, 3.decembrī, 11.decembrī, 13.decembrī, 2020.gada 8.janvārī, 18.februārī, 21.februārī, 11.martā</w:t>
      </w:r>
      <w:r w:rsidR="008A5799">
        <w:t>,</w:t>
      </w:r>
      <w:r w:rsidR="000F54EC" w:rsidRPr="000F54EC">
        <w:t xml:space="preserve"> 17.aprīlī</w:t>
      </w:r>
      <w:r w:rsidR="000413D4">
        <w:t xml:space="preserve"> </w:t>
      </w:r>
      <w:r w:rsidR="008A5799">
        <w:t xml:space="preserve">un </w:t>
      </w:r>
      <w:r w:rsidR="00FC002E">
        <w:t>10</w:t>
      </w:r>
      <w:r w:rsidR="008A5799">
        <w:t xml:space="preserve">.maijā </w:t>
      </w:r>
      <w:r w:rsidR="000413D4" w:rsidRPr="002131F5">
        <w:t>saņēma papildu informāciju, izmaksu pamatojošos dokumentus un tarif</w:t>
      </w:r>
      <w:r w:rsidR="000413D4">
        <w:t>u</w:t>
      </w:r>
      <w:r w:rsidR="000413D4" w:rsidRPr="002131F5">
        <w:t xml:space="preserve"> projekta precizējumu</w:t>
      </w:r>
      <w:r w:rsidR="00711F59" w:rsidRPr="00274FC8">
        <w:t xml:space="preserve"> </w:t>
      </w:r>
      <w:r w:rsidR="003F712D">
        <w:t xml:space="preserve">(turpmāk – tarifu projekts).     </w:t>
      </w:r>
    </w:p>
    <w:p w:rsidR="0051108F" w:rsidRDefault="0051108F" w:rsidP="0051108F">
      <w:pPr>
        <w:spacing w:line="340" w:lineRule="exact"/>
        <w:ind w:firstLine="720"/>
      </w:pPr>
      <w:r>
        <w:t xml:space="preserve">Tarifu </w:t>
      </w:r>
      <w:r w:rsidRPr="00D5504A">
        <w:t xml:space="preserve">projekts ir iesniegts sakarā </w:t>
      </w:r>
      <w:r>
        <w:t>2018.gada 1.jūlijā pabeigto Aģentūras reorganizāciju, kā rezultātā izveidots jauns komersants SIA ,,</w:t>
      </w:r>
      <w:r w:rsidRPr="0020685E">
        <w:t>Ogres Namsaimnieks</w:t>
      </w:r>
      <w:r>
        <w:t xml:space="preserve">”, kas nodarbojas ar regulējamo siltumapgādes pakalpojumu sniegšanu, neregulējamo komercpakalpojumu  sniegšanu siltumapgādē un ar namu apsaimniekošanu. </w:t>
      </w:r>
    </w:p>
    <w:p w:rsidR="0051108F" w:rsidRDefault="0051108F" w:rsidP="0051108F">
      <w:pPr>
        <w:spacing w:line="340" w:lineRule="exact"/>
        <w:ind w:firstLine="720"/>
      </w:pPr>
      <w:r>
        <w:t>Komersants tarifu projektā ir aprēķinājis divdaļīgu tarifu gan ar neparedzētajām izmaksām iepirktās siltumenerģijas</w:t>
      </w:r>
      <w:r w:rsidR="0075760D">
        <w:t xml:space="preserve"> un kurināmā</w:t>
      </w:r>
      <w:r>
        <w:t xml:space="preserve"> cenu izmaiņu rezultātā 12 mēnešu periodam (turpmāk - terminētais tarifs), gan bez tām.</w:t>
      </w:r>
    </w:p>
    <w:p w:rsidR="0051108F" w:rsidRDefault="0051108F" w:rsidP="0051108F">
      <w:pPr>
        <w:spacing w:line="340" w:lineRule="exact"/>
        <w:ind w:firstLine="720"/>
      </w:pPr>
      <w:r w:rsidRPr="00855EDB">
        <w:t>Tarif</w:t>
      </w:r>
      <w:r>
        <w:t>u</w:t>
      </w:r>
      <w:r w:rsidRPr="00855EDB">
        <w:t xml:space="preserve"> projektā ir iekļautas siltumenerģijas ražošanas</w:t>
      </w:r>
      <w:r w:rsidRPr="00D03B42">
        <w:t>, pārvades un sadales un tirdzniecības izmaksas, un attiecīgi</w:t>
      </w:r>
      <w:r>
        <w:t xml:space="preserve"> noteikti šo pakalpojumu tarifi.</w:t>
      </w:r>
    </w:p>
    <w:p w:rsidR="007B0F36" w:rsidRDefault="003F712D">
      <w:pPr>
        <w:spacing w:after="63" w:line="259" w:lineRule="auto"/>
        <w:ind w:left="720" w:right="0" w:firstLine="0"/>
        <w:jc w:val="left"/>
      </w:pPr>
      <w:r>
        <w:t xml:space="preserve"> </w:t>
      </w:r>
    </w:p>
    <w:p w:rsidR="0051108F" w:rsidRPr="00855EDB" w:rsidRDefault="0051108F" w:rsidP="0051108F">
      <w:pPr>
        <w:spacing w:line="340" w:lineRule="exact"/>
        <w:ind w:firstLine="720"/>
      </w:pPr>
      <w:r>
        <w:t>Pašlaik SIA ,,</w:t>
      </w:r>
      <w:r w:rsidRPr="0020685E">
        <w:t>Ogres Namsaimnieks</w:t>
      </w:r>
      <w:r>
        <w:t>” piemēro Aģentūras 2017./2018.gada apkures sezonai noteikto siltumenerģijas cenu atkarīgā no dabasgāzes tirdzniecības cenas.</w:t>
      </w:r>
    </w:p>
    <w:p w:rsidR="0051108F" w:rsidRPr="000F54EC" w:rsidRDefault="000413D4" w:rsidP="000F54EC">
      <w:pPr>
        <w:spacing w:line="340" w:lineRule="exact"/>
        <w:ind w:firstLine="720"/>
        <w:rPr>
          <w:color w:val="auto"/>
          <w:szCs w:val="24"/>
        </w:rPr>
      </w:pPr>
      <w:r>
        <w:t>20</w:t>
      </w:r>
      <w:r w:rsidR="000F54EC">
        <w:t>20</w:t>
      </w:r>
      <w:r>
        <w:t>.</w:t>
      </w:r>
      <w:r w:rsidRPr="000F54EC">
        <w:rPr>
          <w:color w:val="auto"/>
          <w:szCs w:val="24"/>
        </w:rPr>
        <w:t xml:space="preserve">gada </w:t>
      </w:r>
      <w:r w:rsidR="008A5799">
        <w:rPr>
          <w:color w:val="auto"/>
          <w:szCs w:val="24"/>
        </w:rPr>
        <w:t>8.maijā</w:t>
      </w:r>
      <w:r w:rsidRPr="000F54EC">
        <w:rPr>
          <w:color w:val="auto"/>
          <w:szCs w:val="24"/>
        </w:rPr>
        <w:t xml:space="preserve"> </w:t>
      </w:r>
      <w:r w:rsidR="0051108F" w:rsidRPr="000F54EC">
        <w:rPr>
          <w:color w:val="auto"/>
          <w:szCs w:val="24"/>
        </w:rPr>
        <w:t>SIA ,,Ogres Namsaimnieks”</w:t>
      </w:r>
      <w:r w:rsidRPr="000F54EC">
        <w:rPr>
          <w:color w:val="auto"/>
          <w:szCs w:val="24"/>
        </w:rPr>
        <w:t xml:space="preserve"> iesniegusi</w:t>
      </w:r>
      <w:r w:rsidR="0051108F" w:rsidRPr="000F54EC">
        <w:rPr>
          <w:color w:val="auto"/>
          <w:szCs w:val="24"/>
        </w:rPr>
        <w:t xml:space="preserve"> tarifu projekt</w:t>
      </w:r>
      <w:r w:rsidR="0075760D" w:rsidRPr="000F54EC">
        <w:rPr>
          <w:color w:val="auto"/>
          <w:szCs w:val="24"/>
        </w:rPr>
        <w:t>a precizējumu, kurā</w:t>
      </w:r>
      <w:r w:rsidR="0051108F" w:rsidRPr="000F54EC">
        <w:rPr>
          <w:color w:val="auto"/>
          <w:szCs w:val="24"/>
        </w:rPr>
        <w:t xml:space="preserve"> aprēķinātā divdaļīgā siltumenerģijas gala tarifa siltumenerģijas komponente ar dabasgāzes akcīzes nodokļa komponenti ir  </w:t>
      </w:r>
      <w:r w:rsidR="000F54EC">
        <w:rPr>
          <w:b/>
          <w:color w:val="auto"/>
          <w:szCs w:val="24"/>
        </w:rPr>
        <w:t>38,0</w:t>
      </w:r>
      <w:r w:rsidR="008A5799">
        <w:rPr>
          <w:b/>
          <w:color w:val="auto"/>
          <w:szCs w:val="24"/>
        </w:rPr>
        <w:t>4</w:t>
      </w:r>
      <w:r w:rsidR="0075760D" w:rsidRPr="000F54EC">
        <w:rPr>
          <w:b/>
          <w:color w:val="auto"/>
          <w:szCs w:val="24"/>
        </w:rPr>
        <w:t xml:space="preserve"> </w:t>
      </w:r>
      <w:r w:rsidR="0051108F" w:rsidRPr="000F54EC">
        <w:rPr>
          <w:b/>
          <w:color w:val="auto"/>
          <w:szCs w:val="24"/>
        </w:rPr>
        <w:t>EUR/</w:t>
      </w:r>
      <w:proofErr w:type="spellStart"/>
      <w:r w:rsidR="0051108F" w:rsidRPr="000F54EC">
        <w:rPr>
          <w:b/>
          <w:color w:val="auto"/>
          <w:szCs w:val="24"/>
        </w:rPr>
        <w:t>MWh</w:t>
      </w:r>
      <w:proofErr w:type="spellEnd"/>
      <w:r w:rsidR="008A5D85" w:rsidRPr="000F54EC">
        <w:rPr>
          <w:b/>
          <w:color w:val="auto"/>
          <w:szCs w:val="24"/>
        </w:rPr>
        <w:t xml:space="preserve"> </w:t>
      </w:r>
      <w:r w:rsidR="008A5D85" w:rsidRPr="000F54EC">
        <w:rPr>
          <w:bCs/>
          <w:color w:val="auto"/>
          <w:szCs w:val="24"/>
        </w:rPr>
        <w:t>(par 2,</w:t>
      </w:r>
      <w:r w:rsidR="00354D97">
        <w:rPr>
          <w:bCs/>
          <w:color w:val="auto"/>
          <w:szCs w:val="24"/>
        </w:rPr>
        <w:t>6</w:t>
      </w:r>
      <w:r w:rsidR="008A5799">
        <w:rPr>
          <w:bCs/>
          <w:color w:val="auto"/>
          <w:szCs w:val="24"/>
        </w:rPr>
        <w:t>5</w:t>
      </w:r>
      <w:r w:rsidR="008A5D85" w:rsidRPr="000F54EC">
        <w:rPr>
          <w:bCs/>
          <w:color w:val="auto"/>
          <w:szCs w:val="24"/>
        </w:rPr>
        <w:t xml:space="preserve"> EUR/</w:t>
      </w:r>
      <w:proofErr w:type="spellStart"/>
      <w:r w:rsidR="008A5D85" w:rsidRPr="000F54EC">
        <w:rPr>
          <w:bCs/>
          <w:color w:val="auto"/>
          <w:szCs w:val="24"/>
        </w:rPr>
        <w:t>MWh</w:t>
      </w:r>
      <w:proofErr w:type="spellEnd"/>
      <w:r w:rsidR="008A5D85" w:rsidRPr="000F54EC">
        <w:rPr>
          <w:bCs/>
          <w:color w:val="auto"/>
          <w:szCs w:val="24"/>
        </w:rPr>
        <w:t xml:space="preserve"> jeb par </w:t>
      </w:r>
      <w:r w:rsidR="00354D97">
        <w:rPr>
          <w:bCs/>
          <w:color w:val="auto"/>
          <w:szCs w:val="24"/>
        </w:rPr>
        <w:t>6,5</w:t>
      </w:r>
      <w:r w:rsidR="008A5D85" w:rsidRPr="000F54EC">
        <w:rPr>
          <w:bCs/>
          <w:color w:val="auto"/>
          <w:szCs w:val="24"/>
        </w:rPr>
        <w:t>%</w:t>
      </w:r>
      <w:r w:rsidR="008A5D85" w:rsidRPr="000F54EC">
        <w:rPr>
          <w:b/>
          <w:color w:val="auto"/>
          <w:szCs w:val="24"/>
        </w:rPr>
        <w:t xml:space="preserve"> </w:t>
      </w:r>
      <w:r w:rsidR="008A5D85" w:rsidRPr="000F54EC">
        <w:rPr>
          <w:bCs/>
          <w:color w:val="auto"/>
          <w:szCs w:val="24"/>
        </w:rPr>
        <w:t>mazāks,</w:t>
      </w:r>
      <w:r w:rsidR="008A5D85" w:rsidRPr="000F54EC">
        <w:rPr>
          <w:b/>
          <w:color w:val="auto"/>
          <w:szCs w:val="24"/>
        </w:rPr>
        <w:t xml:space="preserve"> </w:t>
      </w:r>
      <w:r w:rsidR="008A5D85" w:rsidRPr="000F54EC">
        <w:rPr>
          <w:bCs/>
          <w:color w:val="auto"/>
          <w:szCs w:val="24"/>
        </w:rPr>
        <w:t>salīdzinot ar sākotnēji iesniegto tarifu projektu)</w:t>
      </w:r>
      <w:r w:rsidR="0051108F" w:rsidRPr="000F54EC">
        <w:rPr>
          <w:color w:val="auto"/>
          <w:szCs w:val="24"/>
        </w:rPr>
        <w:t xml:space="preserve">, bet siltumenerģijas gala tarifa jaudas maksa ir </w:t>
      </w:r>
      <w:r w:rsidR="000F54EC">
        <w:rPr>
          <w:b/>
          <w:color w:val="auto"/>
          <w:szCs w:val="24"/>
        </w:rPr>
        <w:t>21,70</w:t>
      </w:r>
      <w:r w:rsidR="0075760D" w:rsidRPr="000F54EC">
        <w:rPr>
          <w:b/>
          <w:color w:val="auto"/>
          <w:szCs w:val="24"/>
        </w:rPr>
        <w:t xml:space="preserve"> </w:t>
      </w:r>
      <w:r w:rsidR="000F54EC" w:rsidRPr="00966AA6">
        <w:rPr>
          <w:b/>
        </w:rPr>
        <w:t>tūkst.</w:t>
      </w:r>
      <w:r w:rsidR="000F54EC">
        <w:rPr>
          <w:b/>
        </w:rPr>
        <w:t xml:space="preserve"> </w:t>
      </w:r>
      <w:r w:rsidR="000F54EC" w:rsidRPr="00966AA6">
        <w:rPr>
          <w:b/>
        </w:rPr>
        <w:t>EUR/MW</w:t>
      </w:r>
      <w:r w:rsidR="000F54EC" w:rsidRPr="000F54EC">
        <w:rPr>
          <w:bCs/>
          <w:color w:val="auto"/>
          <w:szCs w:val="24"/>
        </w:rPr>
        <w:t xml:space="preserve"> </w:t>
      </w:r>
      <w:r w:rsidR="008A5D85" w:rsidRPr="000F54EC">
        <w:rPr>
          <w:bCs/>
          <w:color w:val="auto"/>
          <w:szCs w:val="24"/>
        </w:rPr>
        <w:t>(0,</w:t>
      </w:r>
      <w:r w:rsidR="00354D97">
        <w:rPr>
          <w:bCs/>
          <w:color w:val="auto"/>
          <w:szCs w:val="24"/>
        </w:rPr>
        <w:t>64</w:t>
      </w:r>
      <w:r w:rsidR="008A5D85" w:rsidRPr="000F54EC">
        <w:rPr>
          <w:bCs/>
          <w:color w:val="auto"/>
          <w:szCs w:val="24"/>
        </w:rPr>
        <w:t xml:space="preserve"> tūkst. EUR/MW jeb par 2,</w:t>
      </w:r>
      <w:r w:rsidR="00354D97">
        <w:rPr>
          <w:bCs/>
          <w:color w:val="auto"/>
          <w:szCs w:val="24"/>
        </w:rPr>
        <w:t>9</w:t>
      </w:r>
      <w:r w:rsidR="008A5D85" w:rsidRPr="000F54EC">
        <w:rPr>
          <w:bCs/>
          <w:color w:val="auto"/>
          <w:szCs w:val="24"/>
        </w:rPr>
        <w:t>% mazāk, salīdzinot ar sākotnēji iesniegto tarifu projektu)</w:t>
      </w:r>
      <w:r w:rsidR="0051108F" w:rsidRPr="000F54EC">
        <w:rPr>
          <w:bCs/>
          <w:color w:val="auto"/>
          <w:szCs w:val="24"/>
        </w:rPr>
        <w:t>.</w:t>
      </w:r>
      <w:r w:rsidR="0051108F" w:rsidRPr="000F54EC">
        <w:rPr>
          <w:color w:val="auto"/>
          <w:szCs w:val="24"/>
        </w:rPr>
        <w:t xml:space="preserve"> Savukārt terminētajā tarifu projektā aprēķinātā divdaļīgā siltumenerģijas gala tarifa siltumenerģijas komponente ar dabasgāzes akcīzes nodokļa komponenti ir  </w:t>
      </w:r>
      <w:r w:rsidR="00354D97">
        <w:rPr>
          <w:b/>
          <w:color w:val="auto"/>
          <w:szCs w:val="24"/>
        </w:rPr>
        <w:t>39,</w:t>
      </w:r>
      <w:r w:rsidR="008A5799">
        <w:rPr>
          <w:b/>
          <w:color w:val="auto"/>
          <w:szCs w:val="24"/>
        </w:rPr>
        <w:t>86</w:t>
      </w:r>
      <w:r w:rsidR="0075760D" w:rsidRPr="000F54EC">
        <w:rPr>
          <w:b/>
          <w:color w:val="auto"/>
          <w:szCs w:val="24"/>
        </w:rPr>
        <w:t xml:space="preserve"> </w:t>
      </w:r>
      <w:r w:rsidR="0051108F" w:rsidRPr="000F54EC">
        <w:rPr>
          <w:b/>
          <w:color w:val="auto"/>
          <w:szCs w:val="24"/>
        </w:rPr>
        <w:t>EUR/</w:t>
      </w:r>
      <w:proofErr w:type="spellStart"/>
      <w:r w:rsidR="0051108F" w:rsidRPr="000F54EC">
        <w:rPr>
          <w:b/>
          <w:color w:val="auto"/>
          <w:szCs w:val="24"/>
        </w:rPr>
        <w:t>MWh</w:t>
      </w:r>
      <w:proofErr w:type="spellEnd"/>
      <w:r w:rsidR="0051108F" w:rsidRPr="000F54EC">
        <w:rPr>
          <w:color w:val="auto"/>
          <w:szCs w:val="24"/>
        </w:rPr>
        <w:t>, bet</w:t>
      </w:r>
      <w:r w:rsidR="0051108F" w:rsidRPr="000F54EC">
        <w:rPr>
          <w:b/>
          <w:color w:val="auto"/>
          <w:szCs w:val="24"/>
        </w:rPr>
        <w:t xml:space="preserve"> </w:t>
      </w:r>
      <w:r w:rsidR="0051108F" w:rsidRPr="000F54EC">
        <w:rPr>
          <w:color w:val="auto"/>
          <w:szCs w:val="24"/>
        </w:rPr>
        <w:t xml:space="preserve">siltumenerģijas gala tarifa jaudas maksa ir </w:t>
      </w:r>
      <w:r w:rsidR="0075760D" w:rsidRPr="000F54EC">
        <w:rPr>
          <w:b/>
          <w:color w:val="auto"/>
          <w:szCs w:val="24"/>
        </w:rPr>
        <w:t>21,7</w:t>
      </w:r>
      <w:r w:rsidR="00354D97">
        <w:rPr>
          <w:b/>
          <w:color w:val="auto"/>
          <w:szCs w:val="24"/>
        </w:rPr>
        <w:t>0</w:t>
      </w:r>
      <w:r w:rsidR="0075760D" w:rsidRPr="000F54EC">
        <w:rPr>
          <w:b/>
          <w:color w:val="auto"/>
          <w:szCs w:val="24"/>
        </w:rPr>
        <w:t xml:space="preserve"> </w:t>
      </w:r>
      <w:r w:rsidR="00354D97" w:rsidRPr="00966AA6">
        <w:rPr>
          <w:b/>
        </w:rPr>
        <w:t>tūkst.</w:t>
      </w:r>
      <w:r w:rsidR="00354D97">
        <w:rPr>
          <w:b/>
        </w:rPr>
        <w:t xml:space="preserve"> </w:t>
      </w:r>
      <w:r w:rsidR="00354D97" w:rsidRPr="00966AA6">
        <w:rPr>
          <w:b/>
        </w:rPr>
        <w:t>EUR/MW</w:t>
      </w:r>
      <w:r w:rsidR="00354D97" w:rsidRPr="000F54EC">
        <w:rPr>
          <w:bCs/>
          <w:color w:val="auto"/>
          <w:szCs w:val="24"/>
        </w:rPr>
        <w:t xml:space="preserve"> </w:t>
      </w:r>
      <w:r w:rsidR="0051108F" w:rsidRPr="000F54EC">
        <w:rPr>
          <w:color w:val="auto"/>
          <w:szCs w:val="24"/>
        </w:rPr>
        <w:t>(skat. 1.tabulu).</w:t>
      </w:r>
      <w:r w:rsidR="008A5D85" w:rsidRPr="000F54EC">
        <w:rPr>
          <w:color w:val="auto"/>
          <w:szCs w:val="24"/>
        </w:rPr>
        <w:t xml:space="preserve"> </w:t>
      </w:r>
    </w:p>
    <w:p w:rsidR="000210B4" w:rsidRDefault="000210B4" w:rsidP="000210B4">
      <w:pPr>
        <w:spacing w:line="324" w:lineRule="auto"/>
        <w:ind w:right="62" w:firstLine="720"/>
        <w:jc w:val="right"/>
      </w:pPr>
      <w:r>
        <w:t>1.tabula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1385"/>
        <w:gridCol w:w="1483"/>
        <w:gridCol w:w="1526"/>
      </w:tblGrid>
      <w:tr w:rsidR="00354D97" w:rsidRPr="00354D97" w:rsidTr="00190776">
        <w:trPr>
          <w:trHeight w:val="284"/>
          <w:tblHeader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354D97" w:rsidRPr="00354D97" w:rsidRDefault="00354D97" w:rsidP="00354D97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D97" w:rsidRPr="00354D97" w:rsidRDefault="00354D97" w:rsidP="00354D97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Tarifu projekts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354D97" w:rsidRPr="00354D97" w:rsidRDefault="00354D97" w:rsidP="00354D97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Sākotnējais tarifu projekts</w:t>
            </w:r>
          </w:p>
        </w:tc>
        <w:tc>
          <w:tcPr>
            <w:tcW w:w="1483" w:type="dxa"/>
            <w:vAlign w:val="center"/>
          </w:tcPr>
          <w:p w:rsidR="00354D97" w:rsidRPr="00354D97" w:rsidRDefault="00354D97" w:rsidP="00354D97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Terminētais tarifu projekts</w:t>
            </w:r>
          </w:p>
        </w:tc>
        <w:tc>
          <w:tcPr>
            <w:tcW w:w="1526" w:type="dxa"/>
            <w:vAlign w:val="center"/>
          </w:tcPr>
          <w:p w:rsidR="00354D97" w:rsidRPr="00354D97" w:rsidRDefault="00354D97" w:rsidP="00354D97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Sākotnējais terminētais tarifu projekts</w:t>
            </w:r>
          </w:p>
        </w:tc>
      </w:tr>
      <w:tr w:rsidR="008A5799" w:rsidRPr="00354D97" w:rsidTr="00354D97">
        <w:trPr>
          <w:trHeight w:val="284"/>
        </w:trPr>
        <w:tc>
          <w:tcPr>
            <w:tcW w:w="3823" w:type="dxa"/>
            <w:shd w:val="clear" w:color="auto" w:fill="auto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Ražošanas divdaļīgā tarifa siltumenerģijas komponente EUR/</w:t>
            </w:r>
            <w:proofErr w:type="spellStart"/>
            <w:r w:rsidRPr="00354D97">
              <w:rPr>
                <w:color w:val="auto"/>
                <w:sz w:val="22"/>
              </w:rPr>
              <w:t>MWh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31,56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33,34</w:t>
            </w:r>
          </w:p>
        </w:tc>
        <w:tc>
          <w:tcPr>
            <w:tcW w:w="1483" w:type="dxa"/>
            <w:vAlign w:val="center"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33,12</w:t>
            </w:r>
          </w:p>
        </w:tc>
        <w:tc>
          <w:tcPr>
            <w:tcW w:w="1526" w:type="dxa"/>
            <w:vAlign w:val="center"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33,34</w:t>
            </w:r>
          </w:p>
        </w:tc>
      </w:tr>
      <w:tr w:rsidR="008A5799" w:rsidRPr="00354D97" w:rsidTr="00354D97">
        <w:trPr>
          <w:trHeight w:val="284"/>
        </w:trPr>
        <w:tc>
          <w:tcPr>
            <w:tcW w:w="3823" w:type="dxa"/>
            <w:shd w:val="clear" w:color="auto" w:fill="auto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 xml:space="preserve">Ražošanas divdaļīgā tarifa siltuma jaudas maksa </w:t>
            </w:r>
            <w:proofErr w:type="spellStart"/>
            <w:r w:rsidRPr="00354D97">
              <w:rPr>
                <w:color w:val="auto"/>
                <w:sz w:val="22"/>
              </w:rPr>
              <w:t>tūkst.EUR</w:t>
            </w:r>
            <w:proofErr w:type="spellEnd"/>
            <w:r w:rsidRPr="00354D97">
              <w:rPr>
                <w:color w:val="auto"/>
                <w:sz w:val="22"/>
              </w:rPr>
              <w:t>/MW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6,23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5,58</w:t>
            </w:r>
          </w:p>
        </w:tc>
        <w:tc>
          <w:tcPr>
            <w:tcW w:w="1483" w:type="dxa"/>
            <w:vAlign w:val="center"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6,23</w:t>
            </w:r>
          </w:p>
        </w:tc>
        <w:tc>
          <w:tcPr>
            <w:tcW w:w="1526" w:type="dxa"/>
            <w:vAlign w:val="center"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9,1</w:t>
            </w:r>
          </w:p>
        </w:tc>
      </w:tr>
      <w:tr w:rsidR="008A5799" w:rsidRPr="00354D97" w:rsidTr="00354D97">
        <w:trPr>
          <w:trHeight w:val="284"/>
        </w:trPr>
        <w:tc>
          <w:tcPr>
            <w:tcW w:w="3823" w:type="dxa"/>
            <w:shd w:val="clear" w:color="000000" w:fill="FFFFFF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Pārvades un sadales tarifa siltumenerģijas komponente EUR/</w:t>
            </w:r>
            <w:proofErr w:type="spellStart"/>
            <w:r w:rsidRPr="00354D97">
              <w:rPr>
                <w:color w:val="auto"/>
                <w:sz w:val="22"/>
              </w:rPr>
              <w:t>MWh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5,86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6,7</w:t>
            </w:r>
          </w:p>
        </w:tc>
        <w:tc>
          <w:tcPr>
            <w:tcW w:w="1483" w:type="dxa"/>
            <w:vAlign w:val="center"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6,12</w:t>
            </w:r>
          </w:p>
        </w:tc>
        <w:tc>
          <w:tcPr>
            <w:tcW w:w="1526" w:type="dxa"/>
            <w:vAlign w:val="center"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6,95</w:t>
            </w:r>
          </w:p>
        </w:tc>
      </w:tr>
      <w:tr w:rsidR="008A5799" w:rsidRPr="00354D97" w:rsidTr="00354D97">
        <w:trPr>
          <w:trHeight w:val="284"/>
        </w:trPr>
        <w:tc>
          <w:tcPr>
            <w:tcW w:w="3823" w:type="dxa"/>
            <w:shd w:val="clear" w:color="000000" w:fill="FFFFFF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 xml:space="preserve">Pārvades un sadales tarifa siltuma jaudas maksa </w:t>
            </w:r>
            <w:proofErr w:type="spellStart"/>
            <w:r w:rsidRPr="00354D97">
              <w:rPr>
                <w:color w:val="auto"/>
                <w:sz w:val="22"/>
              </w:rPr>
              <w:t>tūkst.EUR</w:t>
            </w:r>
            <w:proofErr w:type="spellEnd"/>
            <w:r w:rsidRPr="00354D97">
              <w:rPr>
                <w:color w:val="auto"/>
                <w:sz w:val="22"/>
              </w:rPr>
              <w:t>/MW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11,83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12,84</w:t>
            </w:r>
          </w:p>
        </w:tc>
        <w:tc>
          <w:tcPr>
            <w:tcW w:w="1483" w:type="dxa"/>
            <w:vAlign w:val="center"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11,83</w:t>
            </w:r>
          </w:p>
        </w:tc>
        <w:tc>
          <w:tcPr>
            <w:tcW w:w="1526" w:type="dxa"/>
            <w:vAlign w:val="center"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13,32</w:t>
            </w:r>
          </w:p>
        </w:tc>
      </w:tr>
      <w:tr w:rsidR="008A5799" w:rsidRPr="00354D97" w:rsidTr="00354D97">
        <w:trPr>
          <w:trHeight w:val="284"/>
        </w:trPr>
        <w:tc>
          <w:tcPr>
            <w:tcW w:w="3823" w:type="dxa"/>
            <w:shd w:val="clear" w:color="000000" w:fill="FFFFFF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lastRenderedPageBreak/>
              <w:t xml:space="preserve">Tirdzniecības tarifa siltuma jaudas maksa </w:t>
            </w:r>
            <w:proofErr w:type="spellStart"/>
            <w:r w:rsidRPr="00354D97">
              <w:rPr>
                <w:color w:val="auto"/>
                <w:sz w:val="22"/>
              </w:rPr>
              <w:t>tūkst.EUR</w:t>
            </w:r>
            <w:proofErr w:type="spellEnd"/>
            <w:r w:rsidRPr="00354D97">
              <w:rPr>
                <w:color w:val="auto"/>
                <w:sz w:val="22"/>
              </w:rPr>
              <w:t>/MW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3,64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3,92</w:t>
            </w:r>
          </w:p>
        </w:tc>
        <w:tc>
          <w:tcPr>
            <w:tcW w:w="1483" w:type="dxa"/>
            <w:vAlign w:val="center"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3,64</w:t>
            </w:r>
          </w:p>
        </w:tc>
        <w:tc>
          <w:tcPr>
            <w:tcW w:w="1526" w:type="dxa"/>
            <w:vAlign w:val="center"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3,92</w:t>
            </w:r>
          </w:p>
        </w:tc>
      </w:tr>
      <w:tr w:rsidR="008A5799" w:rsidRPr="00354D97" w:rsidTr="00354D97">
        <w:trPr>
          <w:trHeight w:val="284"/>
        </w:trPr>
        <w:tc>
          <w:tcPr>
            <w:tcW w:w="3823" w:type="dxa"/>
            <w:shd w:val="clear" w:color="000000" w:fill="FFFFFF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Dabasgāzes akcīzes nodokļa komponente EUR/</w:t>
            </w:r>
            <w:proofErr w:type="spellStart"/>
            <w:r w:rsidRPr="00354D97">
              <w:rPr>
                <w:color w:val="auto"/>
                <w:sz w:val="22"/>
              </w:rPr>
              <w:t>MWh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0,62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0,65</w:t>
            </w:r>
          </w:p>
        </w:tc>
        <w:tc>
          <w:tcPr>
            <w:tcW w:w="1483" w:type="dxa"/>
            <w:vAlign w:val="center"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0,62</w:t>
            </w:r>
          </w:p>
        </w:tc>
        <w:tc>
          <w:tcPr>
            <w:tcW w:w="1526" w:type="dxa"/>
            <w:vAlign w:val="center"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54D97">
              <w:rPr>
                <w:color w:val="auto"/>
                <w:sz w:val="22"/>
              </w:rPr>
              <w:t>0,65</w:t>
            </w:r>
          </w:p>
        </w:tc>
      </w:tr>
      <w:tr w:rsidR="008A5799" w:rsidRPr="00354D97" w:rsidTr="00354D97">
        <w:trPr>
          <w:trHeight w:val="284"/>
        </w:trPr>
        <w:tc>
          <w:tcPr>
            <w:tcW w:w="3823" w:type="dxa"/>
            <w:shd w:val="clear" w:color="000000" w:fill="FFFFFF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354D97">
              <w:rPr>
                <w:b/>
                <w:bCs/>
                <w:color w:val="auto"/>
                <w:sz w:val="22"/>
              </w:rPr>
              <w:t>Siltumenerģijas gala tarifa siltumenerģijas komponente ar dabasgāzes akcīzes nodokļa komponenti EUR/</w:t>
            </w:r>
            <w:proofErr w:type="spellStart"/>
            <w:r w:rsidRPr="00354D97">
              <w:rPr>
                <w:b/>
                <w:bCs/>
                <w:color w:val="auto"/>
                <w:sz w:val="22"/>
              </w:rPr>
              <w:t>MWh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8A5799">
              <w:rPr>
                <w:b/>
                <w:bCs/>
                <w:sz w:val="22"/>
              </w:rPr>
              <w:t>38,04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54D97">
              <w:rPr>
                <w:b/>
                <w:bCs/>
                <w:color w:val="auto"/>
                <w:sz w:val="22"/>
              </w:rPr>
              <w:t>40,69</w:t>
            </w:r>
          </w:p>
        </w:tc>
        <w:tc>
          <w:tcPr>
            <w:tcW w:w="1483" w:type="dxa"/>
            <w:vAlign w:val="center"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8A5799">
              <w:rPr>
                <w:b/>
                <w:bCs/>
                <w:sz w:val="22"/>
              </w:rPr>
              <w:t>39,86</w:t>
            </w:r>
          </w:p>
        </w:tc>
        <w:tc>
          <w:tcPr>
            <w:tcW w:w="1526" w:type="dxa"/>
            <w:vAlign w:val="center"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54D97">
              <w:rPr>
                <w:b/>
                <w:bCs/>
                <w:color w:val="auto"/>
                <w:sz w:val="22"/>
              </w:rPr>
              <w:t>40,93</w:t>
            </w:r>
          </w:p>
        </w:tc>
      </w:tr>
      <w:tr w:rsidR="008A5799" w:rsidRPr="00354D97" w:rsidTr="00354D97">
        <w:trPr>
          <w:trHeight w:val="284"/>
        </w:trPr>
        <w:tc>
          <w:tcPr>
            <w:tcW w:w="3823" w:type="dxa"/>
            <w:shd w:val="clear" w:color="000000" w:fill="FFFFFF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left"/>
              <w:outlineLvl w:val="0"/>
              <w:rPr>
                <w:b/>
                <w:bCs/>
                <w:color w:val="auto"/>
                <w:sz w:val="22"/>
              </w:rPr>
            </w:pPr>
            <w:r w:rsidRPr="00354D97">
              <w:rPr>
                <w:b/>
                <w:bCs/>
                <w:color w:val="auto"/>
                <w:sz w:val="22"/>
              </w:rPr>
              <w:t xml:space="preserve">Siltumenerģijas gala tarifa siltuma jaudas maksa </w:t>
            </w:r>
            <w:proofErr w:type="spellStart"/>
            <w:r w:rsidRPr="00354D97">
              <w:rPr>
                <w:b/>
                <w:bCs/>
                <w:color w:val="auto"/>
                <w:sz w:val="22"/>
              </w:rPr>
              <w:t>tūkst.EUR</w:t>
            </w:r>
            <w:proofErr w:type="spellEnd"/>
            <w:r w:rsidRPr="00354D97">
              <w:rPr>
                <w:b/>
                <w:bCs/>
                <w:color w:val="auto"/>
                <w:sz w:val="22"/>
              </w:rPr>
              <w:t>/MW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outlineLvl w:val="0"/>
              <w:rPr>
                <w:b/>
                <w:bCs/>
                <w:sz w:val="22"/>
              </w:rPr>
            </w:pPr>
            <w:r w:rsidRPr="008A5799">
              <w:rPr>
                <w:b/>
                <w:bCs/>
                <w:sz w:val="22"/>
              </w:rPr>
              <w:t>21,70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outlineLvl w:val="0"/>
              <w:rPr>
                <w:b/>
                <w:bCs/>
                <w:color w:val="auto"/>
                <w:sz w:val="22"/>
              </w:rPr>
            </w:pPr>
            <w:r w:rsidRPr="00354D97">
              <w:rPr>
                <w:b/>
                <w:bCs/>
                <w:color w:val="auto"/>
                <w:sz w:val="22"/>
              </w:rPr>
              <w:t>22,34</w:t>
            </w:r>
          </w:p>
        </w:tc>
        <w:tc>
          <w:tcPr>
            <w:tcW w:w="1483" w:type="dxa"/>
            <w:vAlign w:val="center"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outlineLvl w:val="0"/>
              <w:rPr>
                <w:b/>
                <w:bCs/>
                <w:sz w:val="22"/>
              </w:rPr>
            </w:pPr>
            <w:r w:rsidRPr="008A5799">
              <w:rPr>
                <w:b/>
                <w:bCs/>
                <w:sz w:val="22"/>
              </w:rPr>
              <w:t>21,70</w:t>
            </w:r>
          </w:p>
        </w:tc>
        <w:tc>
          <w:tcPr>
            <w:tcW w:w="1526" w:type="dxa"/>
            <w:vAlign w:val="center"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54D97">
              <w:rPr>
                <w:b/>
                <w:bCs/>
                <w:color w:val="auto"/>
                <w:sz w:val="22"/>
              </w:rPr>
              <w:t>26,34</w:t>
            </w:r>
          </w:p>
        </w:tc>
      </w:tr>
      <w:tr w:rsidR="008A5799" w:rsidRPr="00354D97" w:rsidTr="00354D97">
        <w:trPr>
          <w:trHeight w:val="284"/>
        </w:trPr>
        <w:tc>
          <w:tcPr>
            <w:tcW w:w="3823" w:type="dxa"/>
            <w:shd w:val="clear" w:color="000000" w:fill="FFFFFF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left"/>
              <w:outlineLvl w:val="0"/>
              <w:rPr>
                <w:b/>
                <w:bCs/>
                <w:color w:val="auto"/>
                <w:sz w:val="22"/>
              </w:rPr>
            </w:pPr>
            <w:r w:rsidRPr="00354D97">
              <w:rPr>
                <w:b/>
                <w:bCs/>
                <w:color w:val="auto"/>
                <w:sz w:val="22"/>
              </w:rPr>
              <w:t>Siltumenerģijas gala tarifs viendaļīga tarifa gadījumā ar dabasgāzes akcīzes nodokļa komponenti EUR/</w:t>
            </w:r>
            <w:proofErr w:type="spellStart"/>
            <w:r w:rsidRPr="00354D97">
              <w:rPr>
                <w:b/>
                <w:bCs/>
                <w:color w:val="auto"/>
                <w:sz w:val="22"/>
              </w:rPr>
              <w:t>MWh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outlineLvl w:val="0"/>
              <w:rPr>
                <w:b/>
                <w:bCs/>
                <w:sz w:val="22"/>
              </w:rPr>
            </w:pPr>
            <w:r w:rsidRPr="008A5799">
              <w:rPr>
                <w:b/>
                <w:bCs/>
                <w:sz w:val="22"/>
              </w:rPr>
              <w:t>48,89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outlineLvl w:val="0"/>
              <w:rPr>
                <w:b/>
                <w:bCs/>
                <w:color w:val="auto"/>
                <w:sz w:val="22"/>
              </w:rPr>
            </w:pPr>
            <w:r w:rsidRPr="00354D97">
              <w:rPr>
                <w:b/>
                <w:bCs/>
                <w:color w:val="auto"/>
                <w:sz w:val="22"/>
              </w:rPr>
              <w:t>51,48</w:t>
            </w:r>
          </w:p>
        </w:tc>
        <w:tc>
          <w:tcPr>
            <w:tcW w:w="1483" w:type="dxa"/>
            <w:vAlign w:val="center"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outlineLvl w:val="0"/>
              <w:rPr>
                <w:b/>
                <w:bCs/>
                <w:sz w:val="22"/>
              </w:rPr>
            </w:pPr>
            <w:r w:rsidRPr="008A5799">
              <w:rPr>
                <w:b/>
                <w:bCs/>
                <w:sz w:val="22"/>
              </w:rPr>
              <w:t>50,71</w:t>
            </w:r>
          </w:p>
        </w:tc>
        <w:tc>
          <w:tcPr>
            <w:tcW w:w="1526" w:type="dxa"/>
            <w:vAlign w:val="center"/>
          </w:tcPr>
          <w:p w:rsidR="008A5799" w:rsidRPr="00354D97" w:rsidRDefault="008A5799" w:rsidP="008A579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54D97">
              <w:rPr>
                <w:b/>
                <w:bCs/>
                <w:color w:val="auto"/>
                <w:sz w:val="22"/>
              </w:rPr>
              <w:t>53,47</w:t>
            </w:r>
          </w:p>
        </w:tc>
      </w:tr>
    </w:tbl>
    <w:p w:rsidR="008A5D85" w:rsidRDefault="008A5D85" w:rsidP="00190776">
      <w:pPr>
        <w:spacing w:before="120" w:line="340" w:lineRule="exact"/>
        <w:ind w:right="62" w:firstLine="720"/>
      </w:pPr>
      <w:r w:rsidRPr="008A5D85">
        <w:t xml:space="preserve">Tarifu projektā, salīdzinot ar sākotnēji iesniegto tarifu projektu, samazināts lietotājiem nodotās siltumenerģijas apjoms, samazināts iepirktās siltumenerģijas apjoms, </w:t>
      </w:r>
      <w:r w:rsidR="003738C5">
        <w:t>samazināts</w:t>
      </w:r>
      <w:r w:rsidRPr="008A5D85">
        <w:t xml:space="preserve"> pašu saražotās siltumenerģijas apjoms un pārskatītas izmaksu pozīcijas, kā rezultātā ir izmaksu samazinājums par </w:t>
      </w:r>
      <w:r w:rsidR="008A5799">
        <w:t>322,7</w:t>
      </w:r>
      <w:r w:rsidR="003738C5" w:rsidRPr="00BB7E0E">
        <w:t> </w:t>
      </w:r>
      <w:r w:rsidRPr="008A5D85">
        <w:t>tūkst. EUR</w:t>
      </w:r>
      <w:r w:rsidR="003738C5">
        <w:t>.</w:t>
      </w:r>
    </w:p>
    <w:p w:rsidR="00BF3E06" w:rsidRDefault="0024005A" w:rsidP="00BF3E06">
      <w:pPr>
        <w:spacing w:line="340" w:lineRule="exact"/>
        <w:ind w:firstLine="720"/>
      </w:pPr>
      <w:r>
        <w:t>Pēdējo trīs gadu vidējie apjomi, sākotnēji iesniegtajā tarifu projektā un t</w:t>
      </w:r>
      <w:r w:rsidR="00BF3E06">
        <w:t>arifu projektā plānoti</w:t>
      </w:r>
      <w:r>
        <w:t>e</w:t>
      </w:r>
      <w:r w:rsidR="00BF3E06">
        <w:t xml:space="preserve"> </w:t>
      </w:r>
      <w:r>
        <w:t xml:space="preserve">siltumenerģijas apjomi </w:t>
      </w:r>
      <w:r w:rsidR="00BF3E06" w:rsidRPr="00B20812">
        <w:t xml:space="preserve">sniegti </w:t>
      </w:r>
      <w:r w:rsidR="00BF3E06">
        <w:t>2</w:t>
      </w:r>
      <w:r w:rsidR="00BF3E06" w:rsidRPr="00B20812">
        <w:t>.tabulā.</w:t>
      </w:r>
      <w:r w:rsidR="00BF3E06" w:rsidRPr="00495466">
        <w:t xml:space="preserve">  </w:t>
      </w:r>
    </w:p>
    <w:p w:rsidR="00BF3E06" w:rsidRDefault="003C0818" w:rsidP="003C0818">
      <w:pPr>
        <w:ind w:left="-15" w:right="47"/>
        <w:jc w:val="right"/>
      </w:pPr>
      <w:r>
        <w:t>2.tabula</w:t>
      </w:r>
    </w:p>
    <w:tbl>
      <w:tblPr>
        <w:tblW w:w="8394" w:type="dxa"/>
        <w:jc w:val="center"/>
        <w:tblLook w:val="04A0" w:firstRow="1" w:lastRow="0" w:firstColumn="1" w:lastColumn="0" w:noHBand="0" w:noVBand="1"/>
      </w:tblPr>
      <w:tblGrid>
        <w:gridCol w:w="2339"/>
        <w:gridCol w:w="1556"/>
        <w:gridCol w:w="1345"/>
        <w:gridCol w:w="1356"/>
        <w:gridCol w:w="851"/>
        <w:gridCol w:w="947"/>
      </w:tblGrid>
      <w:tr w:rsidR="003738C5" w:rsidRPr="00BF3E06" w:rsidTr="003738C5">
        <w:trPr>
          <w:trHeight w:val="300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3E06">
              <w:rPr>
                <w:sz w:val="22"/>
              </w:rPr>
              <w:t>Rādītāji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Default="003738C5" w:rsidP="003738C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2017.-2019.g. vidējais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Sākotnēji iesniegtais tarifu projekts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3E06">
              <w:rPr>
                <w:sz w:val="22"/>
              </w:rPr>
              <w:t>Tarifu projekts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3E06">
              <w:rPr>
                <w:sz w:val="22"/>
              </w:rPr>
              <w:t>Izmaiņas pret vidējo</w:t>
            </w:r>
          </w:p>
        </w:tc>
      </w:tr>
      <w:tr w:rsidR="003738C5" w:rsidRPr="00BF3E06" w:rsidTr="003738C5">
        <w:trPr>
          <w:trHeight w:val="900"/>
          <w:jc w:val="center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BF3E06">
              <w:rPr>
                <w:sz w:val="22"/>
              </w:rPr>
              <w:t>MWh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3E06">
              <w:rPr>
                <w:sz w:val="22"/>
              </w:rPr>
              <w:t>%</w:t>
            </w:r>
          </w:p>
        </w:tc>
      </w:tr>
      <w:tr w:rsidR="003738C5" w:rsidRPr="00BF3E06" w:rsidTr="003738C5">
        <w:trPr>
          <w:trHeight w:val="284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3E06">
              <w:rPr>
                <w:sz w:val="22"/>
              </w:rPr>
              <w:t>Lietotājiem nodotā siltumenerģija, (</w:t>
            </w:r>
            <w:proofErr w:type="spellStart"/>
            <w:r w:rsidRPr="00BF3E06">
              <w:rPr>
                <w:sz w:val="22"/>
              </w:rPr>
              <w:t>MWh</w:t>
            </w:r>
            <w:proofErr w:type="spellEnd"/>
            <w:r w:rsidRPr="00BF3E06">
              <w:rPr>
                <w:sz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83</w:t>
            </w:r>
            <w:r w:rsidR="00E11C91">
              <w:rPr>
                <w:color w:val="auto"/>
                <w:sz w:val="22"/>
              </w:rPr>
              <w:t xml:space="preserve"> </w:t>
            </w:r>
            <w:r w:rsidRPr="003738C5">
              <w:rPr>
                <w:color w:val="auto"/>
                <w:sz w:val="22"/>
              </w:rPr>
              <w:t>224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85 501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83</w:t>
            </w:r>
            <w:r w:rsidR="00E11C91">
              <w:rPr>
                <w:color w:val="auto"/>
                <w:sz w:val="22"/>
              </w:rPr>
              <w:t xml:space="preserve"> </w:t>
            </w:r>
            <w:r w:rsidRPr="003738C5">
              <w:rPr>
                <w:color w:val="auto"/>
                <w:sz w:val="22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142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0,2%</w:t>
            </w:r>
          </w:p>
        </w:tc>
      </w:tr>
      <w:tr w:rsidR="003738C5" w:rsidRPr="00BF3E06" w:rsidTr="003738C5">
        <w:trPr>
          <w:trHeight w:val="284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3E06">
              <w:rPr>
                <w:sz w:val="22"/>
              </w:rPr>
              <w:t>Pārvades un sadales zudumi, (</w:t>
            </w:r>
            <w:proofErr w:type="spellStart"/>
            <w:r w:rsidRPr="00BF3E06">
              <w:rPr>
                <w:sz w:val="22"/>
              </w:rPr>
              <w:t>MWh</w:t>
            </w:r>
            <w:proofErr w:type="spellEnd"/>
            <w:r w:rsidRPr="00BF3E06">
              <w:rPr>
                <w:sz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14</w:t>
            </w:r>
            <w:r w:rsidR="00E11C91">
              <w:rPr>
                <w:color w:val="auto"/>
                <w:sz w:val="22"/>
              </w:rPr>
              <w:t xml:space="preserve"> </w:t>
            </w:r>
            <w:r w:rsidRPr="003738C5">
              <w:rPr>
                <w:color w:val="auto"/>
                <w:sz w:val="22"/>
              </w:rPr>
              <w:t>193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13 969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13</w:t>
            </w:r>
            <w:r w:rsidR="00E11C91">
              <w:rPr>
                <w:color w:val="auto"/>
                <w:sz w:val="22"/>
              </w:rPr>
              <w:t xml:space="preserve"> </w:t>
            </w:r>
            <w:r w:rsidRPr="003738C5">
              <w:rPr>
                <w:color w:val="auto"/>
                <w:sz w:val="22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-269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-1,9%</w:t>
            </w:r>
          </w:p>
        </w:tc>
      </w:tr>
      <w:tr w:rsidR="003738C5" w:rsidRPr="00BF3E06" w:rsidTr="003738C5">
        <w:trPr>
          <w:trHeight w:val="284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3E06">
              <w:rPr>
                <w:sz w:val="22"/>
              </w:rPr>
              <w:t>Iepirktā siltumenerģija, (</w:t>
            </w:r>
            <w:proofErr w:type="spellStart"/>
            <w:r w:rsidRPr="00BF3E06">
              <w:rPr>
                <w:sz w:val="22"/>
              </w:rPr>
              <w:t>MWh</w:t>
            </w:r>
            <w:proofErr w:type="spellEnd"/>
            <w:r w:rsidRPr="00BF3E06">
              <w:rPr>
                <w:sz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74</w:t>
            </w:r>
            <w:r w:rsidR="00E11C91">
              <w:rPr>
                <w:color w:val="auto"/>
                <w:sz w:val="22"/>
              </w:rPr>
              <w:t xml:space="preserve"> </w:t>
            </w:r>
            <w:r w:rsidRPr="003738C5">
              <w:rPr>
                <w:color w:val="auto"/>
                <w:sz w:val="22"/>
              </w:rPr>
              <w:t>329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70 972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70</w:t>
            </w:r>
            <w:r w:rsidR="00E11C91">
              <w:rPr>
                <w:color w:val="auto"/>
                <w:sz w:val="22"/>
              </w:rPr>
              <w:t xml:space="preserve"> </w:t>
            </w:r>
            <w:r w:rsidRPr="003738C5">
              <w:rPr>
                <w:color w:val="auto"/>
                <w:sz w:val="22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-3</w:t>
            </w:r>
            <w:r w:rsidR="00E11C91">
              <w:rPr>
                <w:color w:val="auto"/>
                <w:sz w:val="22"/>
              </w:rPr>
              <w:t xml:space="preserve"> </w:t>
            </w:r>
            <w:r w:rsidRPr="003738C5">
              <w:rPr>
                <w:color w:val="auto"/>
                <w:sz w:val="22"/>
              </w:rPr>
              <w:t>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-5,2%</w:t>
            </w:r>
          </w:p>
        </w:tc>
      </w:tr>
      <w:tr w:rsidR="003738C5" w:rsidRPr="00BF3E06" w:rsidTr="003738C5">
        <w:trPr>
          <w:trHeight w:val="284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3E06">
              <w:rPr>
                <w:sz w:val="22"/>
              </w:rPr>
              <w:t>Siltumtīklos nodotā siltumenerģija (</w:t>
            </w:r>
            <w:proofErr w:type="spellStart"/>
            <w:r w:rsidRPr="00BF3E06">
              <w:rPr>
                <w:sz w:val="22"/>
              </w:rPr>
              <w:t>MWh</w:t>
            </w:r>
            <w:proofErr w:type="spellEnd"/>
            <w:r w:rsidRPr="00BF3E06">
              <w:rPr>
                <w:sz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97</w:t>
            </w:r>
            <w:r w:rsidR="00E11C91">
              <w:rPr>
                <w:color w:val="auto"/>
                <w:sz w:val="22"/>
              </w:rPr>
              <w:t xml:space="preserve"> </w:t>
            </w:r>
            <w:r w:rsidRPr="003738C5">
              <w:rPr>
                <w:color w:val="auto"/>
                <w:sz w:val="22"/>
              </w:rPr>
              <w:t>428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99 471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97</w:t>
            </w:r>
            <w:r w:rsidR="00E11C91">
              <w:rPr>
                <w:color w:val="auto"/>
                <w:sz w:val="22"/>
              </w:rPr>
              <w:t xml:space="preserve"> </w:t>
            </w:r>
            <w:r w:rsidRPr="003738C5">
              <w:rPr>
                <w:color w:val="auto"/>
                <w:sz w:val="22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-139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-0,1%</w:t>
            </w:r>
          </w:p>
        </w:tc>
      </w:tr>
      <w:tr w:rsidR="003738C5" w:rsidRPr="00BF3E06" w:rsidTr="003738C5">
        <w:trPr>
          <w:trHeight w:val="284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3E06">
              <w:rPr>
                <w:sz w:val="22"/>
              </w:rPr>
              <w:t>Saražotais</w:t>
            </w:r>
            <w:r>
              <w:rPr>
                <w:sz w:val="22"/>
              </w:rPr>
              <w:t xml:space="preserve"> un n</w:t>
            </w:r>
            <w:r w:rsidRPr="00BF3E06">
              <w:rPr>
                <w:sz w:val="22"/>
              </w:rPr>
              <w:t>o katlu mājas nodotais siltumenerģijas daudzums (</w:t>
            </w:r>
            <w:proofErr w:type="spellStart"/>
            <w:r w:rsidRPr="00BF3E06">
              <w:rPr>
                <w:sz w:val="22"/>
              </w:rPr>
              <w:t>MWh</w:t>
            </w:r>
            <w:proofErr w:type="spellEnd"/>
            <w:r w:rsidRPr="00BF3E06">
              <w:rPr>
                <w:sz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23</w:t>
            </w:r>
            <w:r w:rsidR="00E11C91">
              <w:rPr>
                <w:color w:val="auto"/>
                <w:sz w:val="22"/>
              </w:rPr>
              <w:t xml:space="preserve"> </w:t>
            </w:r>
            <w:r w:rsidRPr="003738C5">
              <w:rPr>
                <w:color w:val="auto"/>
                <w:sz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28 498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26</w:t>
            </w:r>
            <w:r w:rsidR="00E11C91">
              <w:rPr>
                <w:color w:val="auto"/>
                <w:sz w:val="22"/>
              </w:rPr>
              <w:t xml:space="preserve"> </w:t>
            </w:r>
            <w:r w:rsidRPr="003738C5">
              <w:rPr>
                <w:color w:val="auto"/>
                <w:sz w:val="22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3</w:t>
            </w:r>
            <w:r w:rsidR="00E11C91">
              <w:rPr>
                <w:color w:val="auto"/>
                <w:sz w:val="22"/>
              </w:rPr>
              <w:t xml:space="preserve"> </w:t>
            </w:r>
            <w:r w:rsidRPr="003738C5">
              <w:rPr>
                <w:color w:val="auto"/>
                <w:sz w:val="22"/>
              </w:rPr>
              <w:t>741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16,2%</w:t>
            </w:r>
          </w:p>
        </w:tc>
      </w:tr>
      <w:tr w:rsidR="003738C5" w:rsidRPr="00BF3E06" w:rsidTr="003738C5">
        <w:trPr>
          <w:trHeight w:val="284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BF3E06" w:rsidRDefault="003738C5" w:rsidP="003738C5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3E06">
              <w:rPr>
                <w:sz w:val="22"/>
              </w:rPr>
              <w:t>Īpatnējie pārvades un sadales zudumi, (%)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14,6%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14,0%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14,3%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C5" w:rsidRPr="003738C5" w:rsidRDefault="003738C5" w:rsidP="003738C5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3738C5">
              <w:rPr>
                <w:color w:val="auto"/>
                <w:sz w:val="22"/>
              </w:rPr>
              <w:t>-0,3%</w:t>
            </w:r>
          </w:p>
        </w:tc>
      </w:tr>
    </w:tbl>
    <w:p w:rsidR="00C76DA0" w:rsidRDefault="00C76DA0" w:rsidP="009E0ED3">
      <w:pPr>
        <w:pStyle w:val="Virsraksts1"/>
      </w:pPr>
    </w:p>
    <w:p w:rsidR="009E0ED3" w:rsidRPr="009E0ED3" w:rsidRDefault="009E0ED3" w:rsidP="009E0ED3">
      <w:pPr>
        <w:pStyle w:val="Virsraksts1"/>
      </w:pPr>
      <w:r w:rsidRPr="009E0ED3">
        <w:t>Terminētais tarifu projekts</w:t>
      </w:r>
    </w:p>
    <w:p w:rsidR="009E0ED3" w:rsidRDefault="009E0ED3" w:rsidP="009E0ED3">
      <w:pPr>
        <w:spacing w:line="320" w:lineRule="exact"/>
        <w:jc w:val="center"/>
        <w:rPr>
          <w:bCs/>
          <w:u w:val="single"/>
        </w:rPr>
      </w:pPr>
    </w:p>
    <w:p w:rsidR="009E0ED3" w:rsidRPr="003C2767" w:rsidRDefault="009E0ED3" w:rsidP="009E0ED3">
      <w:pPr>
        <w:spacing w:line="320" w:lineRule="exact"/>
        <w:ind w:firstLine="720"/>
      </w:pPr>
      <w:bookmarkStart w:id="0" w:name="_Hlk531190464"/>
      <w:r w:rsidRPr="001E3654">
        <w:t>SIA ,,</w:t>
      </w:r>
      <w:r w:rsidRPr="0020685E">
        <w:t>Ogres Namsaimnieks</w:t>
      </w:r>
      <w:r w:rsidRPr="001E3654">
        <w:t>”</w:t>
      </w:r>
      <w:r>
        <w:t xml:space="preserve"> </w:t>
      </w:r>
      <w:r w:rsidRPr="003C2767">
        <w:t xml:space="preserve">iesniegusi terminēto tarifu projektu </w:t>
      </w:r>
      <w:r>
        <w:t>–</w:t>
      </w:r>
      <w:r w:rsidRPr="003C2767">
        <w:t xml:space="preserve"> tarifu projekta aprēķinu ar neparedzēto izdevumu korekciju, kurā saskaņā ar Metodikas 26.punktu iekļauti neparedzētie </w:t>
      </w:r>
      <w:r>
        <w:t>izdevumi</w:t>
      </w:r>
      <w:r w:rsidRPr="003C2767">
        <w:t xml:space="preserve"> no iepirktās siltumenerģijas cen</w:t>
      </w:r>
      <w:r>
        <w:t>u</w:t>
      </w:r>
      <w:r w:rsidRPr="003C2767">
        <w:t xml:space="preserve"> </w:t>
      </w:r>
      <w:r>
        <w:t>pieauguma</w:t>
      </w:r>
      <w:r w:rsidRPr="003C2767">
        <w:t xml:space="preserve">. Aprēķinātais izmaksu </w:t>
      </w:r>
      <w:r>
        <w:t>pieaugums no</w:t>
      </w:r>
      <w:r w:rsidRPr="003C2767">
        <w:t xml:space="preserve"> iepirktās siltumenerģijas cenu </w:t>
      </w:r>
      <w:r>
        <w:t>pieauguma</w:t>
      </w:r>
      <w:r w:rsidRPr="003C2767">
        <w:t xml:space="preserve"> </w:t>
      </w:r>
      <w:r w:rsidR="008A5799">
        <w:t>152,1</w:t>
      </w:r>
      <w:r w:rsidRPr="003C2767">
        <w:t xml:space="preserve"> tūkst. EUR ir attiecināts uz </w:t>
      </w:r>
      <w:r>
        <w:t>vienu gadu</w:t>
      </w:r>
      <w:r w:rsidRPr="003C2767">
        <w:t xml:space="preserve">. </w:t>
      </w:r>
    </w:p>
    <w:bookmarkEnd w:id="0"/>
    <w:p w:rsidR="008A5799" w:rsidRDefault="008A5799" w:rsidP="00C76DA0">
      <w:pPr>
        <w:spacing w:line="320" w:lineRule="exact"/>
        <w:ind w:firstLine="720"/>
        <w:rPr>
          <w:szCs w:val="24"/>
        </w:rPr>
      </w:pPr>
      <w:r w:rsidRPr="00D61FB2">
        <w:rPr>
          <w:szCs w:val="24"/>
        </w:rPr>
        <w:lastRenderedPageBreak/>
        <w:t xml:space="preserve">Līdz ar to ir aprēķināti divi divdaļīgie siltumenerģijas gala tarifi – siltumenerģijas gala tarifa siltumenerģijas komponente </w:t>
      </w:r>
      <w:r>
        <w:rPr>
          <w:b/>
          <w:szCs w:val="24"/>
        </w:rPr>
        <w:t>39,86</w:t>
      </w:r>
      <w:r w:rsidRPr="00D61FB2">
        <w:rPr>
          <w:b/>
          <w:szCs w:val="24"/>
        </w:rPr>
        <w:t xml:space="preserve"> EUR/</w:t>
      </w:r>
      <w:proofErr w:type="spellStart"/>
      <w:r w:rsidRPr="00D61FB2">
        <w:rPr>
          <w:b/>
          <w:szCs w:val="24"/>
        </w:rPr>
        <w:t>MWh</w:t>
      </w:r>
      <w:proofErr w:type="spellEnd"/>
      <w:r w:rsidRPr="00D61FB2">
        <w:rPr>
          <w:szCs w:val="24"/>
        </w:rPr>
        <w:t xml:space="preserve"> ar dabasgāzes akcīzes nodokļa komponenti un siltumenerģijas gala tarifa siltuma jaudas maksa </w:t>
      </w:r>
      <w:r w:rsidRPr="00D61FB2">
        <w:rPr>
          <w:b/>
          <w:szCs w:val="24"/>
        </w:rPr>
        <w:t>21,70 tūkst. EUR/MW</w:t>
      </w:r>
      <w:r w:rsidRPr="00D61FB2">
        <w:rPr>
          <w:szCs w:val="24"/>
        </w:rPr>
        <w:t xml:space="preserve"> vienam gadam un siltumenerģijas gala tarifa siltumenerģijas komponente </w:t>
      </w:r>
      <w:r>
        <w:rPr>
          <w:b/>
          <w:szCs w:val="24"/>
        </w:rPr>
        <w:t>38,04</w:t>
      </w:r>
      <w:r w:rsidRPr="00D61FB2">
        <w:rPr>
          <w:b/>
          <w:szCs w:val="24"/>
        </w:rPr>
        <w:t xml:space="preserve"> EUR/</w:t>
      </w:r>
      <w:proofErr w:type="spellStart"/>
      <w:r w:rsidRPr="00D61FB2">
        <w:rPr>
          <w:b/>
          <w:szCs w:val="24"/>
        </w:rPr>
        <w:t>MWh</w:t>
      </w:r>
      <w:proofErr w:type="spellEnd"/>
      <w:r w:rsidRPr="00D61FB2">
        <w:rPr>
          <w:szCs w:val="24"/>
        </w:rPr>
        <w:t xml:space="preserve"> ar dabasgāzes akcīzes nodokļa komponenti un siltumenerģijas gala tarifa siltuma jaudas maksa </w:t>
      </w:r>
      <w:r w:rsidRPr="00D61FB2">
        <w:rPr>
          <w:b/>
          <w:szCs w:val="24"/>
        </w:rPr>
        <w:t>21,70 tūkst. EUR/MW</w:t>
      </w:r>
      <w:r w:rsidRPr="00D61FB2">
        <w:rPr>
          <w:szCs w:val="24"/>
        </w:rPr>
        <w:t xml:space="preserve"> bez termiņa. </w:t>
      </w:r>
    </w:p>
    <w:p w:rsidR="009E0ED3" w:rsidRPr="00E11C91" w:rsidRDefault="009E0ED3" w:rsidP="00C76DA0">
      <w:pPr>
        <w:spacing w:line="320" w:lineRule="exact"/>
        <w:ind w:firstLine="720"/>
        <w:rPr>
          <w:szCs w:val="24"/>
        </w:rPr>
      </w:pPr>
      <w:r w:rsidRPr="00E11C91">
        <w:rPr>
          <w:szCs w:val="24"/>
        </w:rPr>
        <w:t>Tarifu projekta un tarifu projekta aprēķina ar neparedzēto izdevumu korekciju  salīdzinājums ir sniegts 3.tabulā.</w:t>
      </w:r>
    </w:p>
    <w:p w:rsidR="009E0ED3" w:rsidRDefault="009E0ED3" w:rsidP="009E0ED3">
      <w:pPr>
        <w:spacing w:line="320" w:lineRule="exact"/>
        <w:ind w:firstLine="720"/>
        <w:jc w:val="right"/>
      </w:pPr>
      <w:r>
        <w:t>3.tabula</w:t>
      </w: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200"/>
        <w:gridCol w:w="1620"/>
        <w:gridCol w:w="1900"/>
      </w:tblGrid>
      <w:tr w:rsidR="00E11C91" w:rsidRPr="00C63975" w:rsidTr="00F36085">
        <w:trPr>
          <w:trHeight w:val="579"/>
          <w:tblHeader/>
          <w:jc w:val="center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C91" w:rsidRPr="00E11C91" w:rsidRDefault="00E11C91" w:rsidP="00E11C91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11C91">
              <w:rPr>
                <w:sz w:val="22"/>
              </w:rPr>
              <w:t>Rādītāji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91" w:rsidRPr="00E11C91" w:rsidRDefault="00E11C91" w:rsidP="00E11C91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11C91">
              <w:rPr>
                <w:sz w:val="22"/>
              </w:rPr>
              <w:t>Tarifu projekts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C91" w:rsidRPr="00E11C91" w:rsidRDefault="00E11C91" w:rsidP="00E11C91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11C91">
              <w:rPr>
                <w:sz w:val="22"/>
              </w:rPr>
              <w:t>Terminētais tarifu projekts</w:t>
            </w:r>
          </w:p>
        </w:tc>
      </w:tr>
      <w:tr w:rsidR="008A5799" w:rsidRPr="00C63975" w:rsidTr="00F36085">
        <w:trPr>
          <w:trHeight w:val="284"/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799" w:rsidRPr="00E11C91" w:rsidRDefault="008A5799" w:rsidP="008A579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11C91">
              <w:rPr>
                <w:sz w:val="22"/>
              </w:rPr>
              <w:t>Mainīgās izmaksas, tūkst. EUR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3119,1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3119,1</w:t>
            </w:r>
          </w:p>
        </w:tc>
      </w:tr>
      <w:tr w:rsidR="008A5799" w:rsidRPr="00C63975" w:rsidTr="00F36085">
        <w:trPr>
          <w:trHeight w:val="284"/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799" w:rsidRPr="00E11C91" w:rsidRDefault="008A5799" w:rsidP="008A579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11C91">
              <w:rPr>
                <w:sz w:val="22"/>
              </w:rPr>
              <w:t>Pastāvīgās izmaksas, tūkst. EUR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722,5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722,5</w:t>
            </w:r>
          </w:p>
        </w:tc>
      </w:tr>
      <w:tr w:rsidR="008A5799" w:rsidRPr="00C63975" w:rsidTr="00F36085">
        <w:trPr>
          <w:trHeight w:val="284"/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799" w:rsidRPr="00E11C91" w:rsidRDefault="008A5799" w:rsidP="008A579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11C91">
              <w:rPr>
                <w:sz w:val="22"/>
              </w:rPr>
              <w:t>Bruto peļņa, tūkst. EUR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182,1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182,1</w:t>
            </w:r>
          </w:p>
        </w:tc>
      </w:tr>
      <w:tr w:rsidR="008A5799" w:rsidRPr="00C63975" w:rsidTr="00F36085">
        <w:trPr>
          <w:trHeight w:val="284"/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799" w:rsidRPr="00E11C91" w:rsidRDefault="008A5799" w:rsidP="008A579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11C91">
              <w:rPr>
                <w:sz w:val="22"/>
              </w:rPr>
              <w:t>Neparedzētās izmaksas, tūkst. EUR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152,1</w:t>
            </w:r>
          </w:p>
        </w:tc>
      </w:tr>
      <w:tr w:rsidR="008A5799" w:rsidRPr="00C63975" w:rsidTr="00F36085">
        <w:trPr>
          <w:trHeight w:val="284"/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799" w:rsidRPr="00E11C91" w:rsidRDefault="008A5799" w:rsidP="008A579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11C91">
              <w:rPr>
                <w:sz w:val="22"/>
              </w:rPr>
              <w:t>Uz siltumenerģijas apgādi attiecināmās izmaksas, tūkst. EUR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4023,6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799" w:rsidRPr="008A5799" w:rsidRDefault="008A5799" w:rsidP="008A5799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A5799">
              <w:rPr>
                <w:sz w:val="22"/>
              </w:rPr>
              <w:t>4175,7</w:t>
            </w:r>
          </w:p>
        </w:tc>
      </w:tr>
    </w:tbl>
    <w:p w:rsidR="009E0ED3" w:rsidRDefault="009E0ED3">
      <w:pPr>
        <w:pStyle w:val="Virsraksts1"/>
      </w:pPr>
    </w:p>
    <w:p w:rsidR="007B0F36" w:rsidRDefault="003F712D" w:rsidP="00C76DA0">
      <w:pPr>
        <w:pStyle w:val="Virsraksts1"/>
        <w:spacing w:after="240"/>
        <w:ind w:right="62"/>
      </w:pPr>
      <w:r>
        <w:t>Tarifu projekta izmaksas</w:t>
      </w:r>
      <w:r>
        <w:rPr>
          <w:u w:val="none"/>
        </w:rPr>
        <w:t xml:space="preserve"> </w:t>
      </w:r>
    </w:p>
    <w:p w:rsidR="00C76DA0" w:rsidRDefault="002B0462" w:rsidP="00C76DA0">
      <w:pPr>
        <w:spacing w:before="120" w:after="0" w:line="259" w:lineRule="auto"/>
        <w:ind w:left="11" w:right="45" w:firstLine="709"/>
      </w:pPr>
      <w:r w:rsidRPr="00D61FB2">
        <w:rPr>
          <w:szCs w:val="24"/>
        </w:rPr>
        <w:t xml:space="preserve">Tarifu projektā plānotās izmaksas salīdzinātas ar 2019.gada faktiskajām izmaksām, jo tās nav korekti </w:t>
      </w:r>
      <w:r>
        <w:rPr>
          <w:szCs w:val="24"/>
        </w:rPr>
        <w:t>salīdzināt</w:t>
      </w:r>
      <w:r w:rsidRPr="00D61FB2">
        <w:rPr>
          <w:szCs w:val="24"/>
        </w:rPr>
        <w:t xml:space="preserve"> ar izmaksām Ogres novada pašvaldības noteiktajā siltumenerģijas tarifā, ko SIA ,,Ogres Namsaimnieks” piemēro kopš uzsāka siltumenerģijas apgādes pakalpojumu sniegšanu 2018.gada vidū, reorganizācijas procesā pārņemot pašvaldības aģentūras funkcijas.</w:t>
      </w:r>
      <w:r>
        <w:rPr>
          <w:szCs w:val="24"/>
        </w:rPr>
        <w:t xml:space="preserve"> </w:t>
      </w:r>
      <w:r w:rsidR="00C76DA0" w:rsidRPr="00C76DA0">
        <w:t xml:space="preserve">Iepriekšējā perioda faktiskās izmaksas un tarifu projektā tarifus veidojošās izmaksas un to salīdzinājums atspoguļots </w:t>
      </w:r>
      <w:r w:rsidR="00C76DA0">
        <w:t xml:space="preserve">4. un </w:t>
      </w:r>
      <w:r w:rsidR="00C76DA0" w:rsidRPr="00C76DA0">
        <w:t>5.tabulā</w:t>
      </w:r>
    </w:p>
    <w:p w:rsidR="007B0F36" w:rsidRDefault="00681BEA">
      <w:pPr>
        <w:spacing w:after="0" w:line="259" w:lineRule="auto"/>
        <w:ind w:left="10" w:right="44" w:hanging="10"/>
        <w:jc w:val="right"/>
      </w:pPr>
      <w:r>
        <w:t>4</w:t>
      </w:r>
      <w:r w:rsidR="003F712D">
        <w:t xml:space="preserve">.tabula 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2126"/>
        <w:gridCol w:w="1417"/>
        <w:gridCol w:w="1134"/>
        <w:gridCol w:w="993"/>
        <w:gridCol w:w="1053"/>
      </w:tblGrid>
      <w:tr w:rsidR="001D4674" w:rsidRPr="003C2767" w:rsidTr="001D4674">
        <w:trPr>
          <w:trHeight w:val="315"/>
          <w:tblHeader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1D4674" w:rsidRPr="003C2767" w:rsidRDefault="001D4674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C2767">
              <w:rPr>
                <w:sz w:val="22"/>
              </w:rPr>
              <w:t>Mainīgās izmaksas</w:t>
            </w:r>
          </w:p>
        </w:tc>
        <w:tc>
          <w:tcPr>
            <w:tcW w:w="1418" w:type="dxa"/>
            <w:vMerge w:val="restart"/>
            <w:vAlign w:val="center"/>
          </w:tcPr>
          <w:p w:rsidR="001D4674" w:rsidRPr="00834128" w:rsidRDefault="001D4674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2019.gads, tūkst. EUR</w:t>
            </w:r>
          </w:p>
        </w:tc>
        <w:tc>
          <w:tcPr>
            <w:tcW w:w="2126" w:type="dxa"/>
            <w:vMerge w:val="restart"/>
            <w:vAlign w:val="center"/>
          </w:tcPr>
          <w:p w:rsidR="001D4674" w:rsidRPr="003C2767" w:rsidRDefault="001D4674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Sākotnēji iesniegtais tarifu projekts, tūkst. EUR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D4674" w:rsidRPr="00834128" w:rsidRDefault="001D4674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Tarifu projekts tūkst. EUR</w:t>
            </w:r>
          </w:p>
        </w:tc>
        <w:tc>
          <w:tcPr>
            <w:tcW w:w="1134" w:type="dxa"/>
            <w:vMerge w:val="restart"/>
            <w:vAlign w:val="center"/>
          </w:tcPr>
          <w:p w:rsidR="001D4674" w:rsidRPr="00834128" w:rsidRDefault="001D4674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% no kopējām izmaksām</w:t>
            </w:r>
          </w:p>
        </w:tc>
        <w:tc>
          <w:tcPr>
            <w:tcW w:w="2046" w:type="dxa"/>
            <w:gridSpan w:val="2"/>
            <w:vAlign w:val="center"/>
          </w:tcPr>
          <w:p w:rsidR="001D4674" w:rsidRPr="00834128" w:rsidRDefault="001D4674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Izmaiņas pret faktu</w:t>
            </w:r>
          </w:p>
        </w:tc>
      </w:tr>
      <w:tr w:rsidR="001D4674" w:rsidRPr="003C2767" w:rsidTr="001D4674">
        <w:trPr>
          <w:trHeight w:val="438"/>
          <w:tblHeader/>
          <w:jc w:val="center"/>
        </w:trPr>
        <w:tc>
          <w:tcPr>
            <w:tcW w:w="2405" w:type="dxa"/>
            <w:vMerge/>
            <w:vAlign w:val="center"/>
            <w:hideMark/>
          </w:tcPr>
          <w:p w:rsidR="001D4674" w:rsidRPr="003C2767" w:rsidRDefault="001D4674" w:rsidP="001D467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4674" w:rsidRPr="00834128" w:rsidRDefault="001D4674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D4674" w:rsidRPr="003C2767" w:rsidRDefault="001D4674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D4674" w:rsidRPr="003C2767" w:rsidRDefault="001D4674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4674" w:rsidRPr="003C2767" w:rsidRDefault="001D4674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1D4674" w:rsidRPr="003C2767" w:rsidRDefault="001D4674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tūkst. EUR</w:t>
            </w:r>
          </w:p>
        </w:tc>
        <w:tc>
          <w:tcPr>
            <w:tcW w:w="1053" w:type="dxa"/>
            <w:vAlign w:val="center"/>
          </w:tcPr>
          <w:p w:rsidR="001D4674" w:rsidRPr="00834128" w:rsidRDefault="001D4674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3949DF" w:rsidRPr="00EE5EEF" w:rsidTr="001D4674">
        <w:trPr>
          <w:trHeight w:val="248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49DF" w:rsidRPr="003C2767" w:rsidRDefault="003949DF" w:rsidP="003949DF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3C2767">
              <w:rPr>
                <w:sz w:val="22"/>
              </w:rPr>
              <w:t>Kurināmā izmaksas</w:t>
            </w:r>
          </w:p>
        </w:tc>
        <w:tc>
          <w:tcPr>
            <w:tcW w:w="1418" w:type="dxa"/>
            <w:vAlign w:val="center"/>
          </w:tcPr>
          <w:p w:rsidR="003949DF" w:rsidRPr="00834128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722,6</w:t>
            </w:r>
          </w:p>
        </w:tc>
        <w:tc>
          <w:tcPr>
            <w:tcW w:w="2126" w:type="dxa"/>
            <w:vAlign w:val="center"/>
          </w:tcPr>
          <w:p w:rsidR="003949DF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952,3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9DF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783,2</w:t>
            </w:r>
          </w:p>
        </w:tc>
        <w:tc>
          <w:tcPr>
            <w:tcW w:w="1134" w:type="dxa"/>
            <w:vAlign w:val="center"/>
          </w:tcPr>
          <w:p w:rsidR="003949DF" w:rsidRPr="00834128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19,5%</w:t>
            </w:r>
          </w:p>
        </w:tc>
        <w:tc>
          <w:tcPr>
            <w:tcW w:w="993" w:type="dxa"/>
            <w:vAlign w:val="center"/>
          </w:tcPr>
          <w:p w:rsidR="003949DF" w:rsidRPr="003949DF" w:rsidRDefault="003949DF" w:rsidP="003949DF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60,6</w:t>
            </w:r>
          </w:p>
        </w:tc>
        <w:tc>
          <w:tcPr>
            <w:tcW w:w="1053" w:type="dxa"/>
            <w:vAlign w:val="center"/>
          </w:tcPr>
          <w:p w:rsidR="003949DF" w:rsidRPr="003949DF" w:rsidRDefault="003949DF" w:rsidP="003949DF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8,4%</w:t>
            </w:r>
          </w:p>
        </w:tc>
      </w:tr>
      <w:tr w:rsidR="003949DF" w:rsidRPr="00EE5EEF" w:rsidTr="001D4674">
        <w:trPr>
          <w:trHeight w:val="26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49DF" w:rsidRPr="003C2767" w:rsidRDefault="003949DF" w:rsidP="003949DF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3C2767">
              <w:rPr>
                <w:sz w:val="22"/>
              </w:rPr>
              <w:t>Dabas resursu nodoklis</w:t>
            </w:r>
          </w:p>
        </w:tc>
        <w:tc>
          <w:tcPr>
            <w:tcW w:w="1418" w:type="dxa"/>
            <w:vAlign w:val="center"/>
          </w:tcPr>
          <w:p w:rsidR="003949DF" w:rsidRPr="00834128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19,0</w:t>
            </w:r>
          </w:p>
        </w:tc>
        <w:tc>
          <w:tcPr>
            <w:tcW w:w="2126" w:type="dxa"/>
            <w:vAlign w:val="center"/>
          </w:tcPr>
          <w:p w:rsidR="003949DF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9DF" w:rsidRDefault="003949DF" w:rsidP="003949D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w="1134" w:type="dxa"/>
            <w:vAlign w:val="center"/>
          </w:tcPr>
          <w:p w:rsidR="003949DF" w:rsidRPr="00834128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0,5%</w:t>
            </w:r>
          </w:p>
        </w:tc>
        <w:tc>
          <w:tcPr>
            <w:tcW w:w="993" w:type="dxa"/>
            <w:vAlign w:val="center"/>
          </w:tcPr>
          <w:p w:rsidR="003949DF" w:rsidRPr="003949DF" w:rsidRDefault="003949DF" w:rsidP="003949DF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0,3</w:t>
            </w:r>
          </w:p>
        </w:tc>
        <w:tc>
          <w:tcPr>
            <w:tcW w:w="1053" w:type="dxa"/>
            <w:vAlign w:val="center"/>
          </w:tcPr>
          <w:p w:rsidR="003949DF" w:rsidRPr="003949DF" w:rsidRDefault="003949DF" w:rsidP="003949DF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1,4%</w:t>
            </w:r>
          </w:p>
        </w:tc>
      </w:tr>
      <w:tr w:rsidR="003949DF" w:rsidRPr="00EE5EEF" w:rsidTr="001D4674">
        <w:trPr>
          <w:trHeight w:val="25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49DF" w:rsidRPr="003C2767" w:rsidRDefault="003949DF" w:rsidP="003949DF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3C2767">
              <w:rPr>
                <w:sz w:val="22"/>
              </w:rPr>
              <w:t xml:space="preserve">Elektroenerģijas izmaksas </w:t>
            </w:r>
          </w:p>
        </w:tc>
        <w:tc>
          <w:tcPr>
            <w:tcW w:w="1418" w:type="dxa"/>
            <w:vAlign w:val="center"/>
          </w:tcPr>
          <w:p w:rsidR="003949DF" w:rsidRPr="00834128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60,3</w:t>
            </w:r>
          </w:p>
        </w:tc>
        <w:tc>
          <w:tcPr>
            <w:tcW w:w="2126" w:type="dxa"/>
            <w:vAlign w:val="center"/>
          </w:tcPr>
          <w:p w:rsidR="003949DF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9DF" w:rsidRDefault="003949DF" w:rsidP="003949D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51,7</w:t>
            </w:r>
          </w:p>
        </w:tc>
        <w:tc>
          <w:tcPr>
            <w:tcW w:w="1134" w:type="dxa"/>
            <w:vAlign w:val="center"/>
          </w:tcPr>
          <w:p w:rsidR="003949DF" w:rsidRPr="00834128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1,3%</w:t>
            </w:r>
          </w:p>
        </w:tc>
        <w:tc>
          <w:tcPr>
            <w:tcW w:w="993" w:type="dxa"/>
            <w:vAlign w:val="center"/>
          </w:tcPr>
          <w:p w:rsidR="003949DF" w:rsidRPr="003949DF" w:rsidRDefault="003949DF" w:rsidP="003949DF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-8,6</w:t>
            </w:r>
          </w:p>
        </w:tc>
        <w:tc>
          <w:tcPr>
            <w:tcW w:w="1053" w:type="dxa"/>
            <w:vAlign w:val="center"/>
          </w:tcPr>
          <w:p w:rsidR="003949DF" w:rsidRPr="003949DF" w:rsidRDefault="003949DF" w:rsidP="003949DF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-14,3%</w:t>
            </w:r>
          </w:p>
        </w:tc>
      </w:tr>
      <w:tr w:rsidR="003949DF" w:rsidRPr="00EE5EEF" w:rsidTr="001D4674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49DF" w:rsidRPr="003C2767" w:rsidRDefault="003949DF" w:rsidP="003949DF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3C2767">
              <w:rPr>
                <w:sz w:val="22"/>
              </w:rPr>
              <w:t>Ūdens un ķimikāliju izmaksas</w:t>
            </w:r>
          </w:p>
        </w:tc>
        <w:tc>
          <w:tcPr>
            <w:tcW w:w="1418" w:type="dxa"/>
            <w:vAlign w:val="center"/>
          </w:tcPr>
          <w:p w:rsidR="003949DF" w:rsidRPr="00834128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1,1</w:t>
            </w:r>
          </w:p>
        </w:tc>
        <w:tc>
          <w:tcPr>
            <w:tcW w:w="2126" w:type="dxa"/>
            <w:vAlign w:val="center"/>
          </w:tcPr>
          <w:p w:rsidR="003949DF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9DF" w:rsidRDefault="003949DF" w:rsidP="003949D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  <w:tc>
          <w:tcPr>
            <w:tcW w:w="1134" w:type="dxa"/>
            <w:vAlign w:val="center"/>
          </w:tcPr>
          <w:p w:rsidR="003949DF" w:rsidRPr="00834128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0,2%</w:t>
            </w:r>
          </w:p>
        </w:tc>
        <w:tc>
          <w:tcPr>
            <w:tcW w:w="993" w:type="dxa"/>
            <w:vAlign w:val="center"/>
          </w:tcPr>
          <w:p w:rsidR="003949DF" w:rsidRPr="003949DF" w:rsidRDefault="003949DF" w:rsidP="003949DF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4,9</w:t>
            </w:r>
          </w:p>
        </w:tc>
        <w:tc>
          <w:tcPr>
            <w:tcW w:w="1053" w:type="dxa"/>
            <w:vAlign w:val="center"/>
          </w:tcPr>
          <w:p w:rsidR="003949DF" w:rsidRPr="003949DF" w:rsidRDefault="003949DF" w:rsidP="003949DF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431,6%</w:t>
            </w:r>
          </w:p>
        </w:tc>
      </w:tr>
      <w:tr w:rsidR="003949DF" w:rsidRPr="00EE5EEF" w:rsidTr="001D4674">
        <w:trPr>
          <w:trHeight w:val="438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49DF" w:rsidRPr="003C2767" w:rsidRDefault="003949DF" w:rsidP="003949DF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3C2767">
              <w:rPr>
                <w:sz w:val="22"/>
              </w:rPr>
              <w:t xml:space="preserve">Iepirktās siltumenerģijas izmaksas </w:t>
            </w:r>
          </w:p>
        </w:tc>
        <w:tc>
          <w:tcPr>
            <w:tcW w:w="1418" w:type="dxa"/>
            <w:vAlign w:val="center"/>
          </w:tcPr>
          <w:p w:rsidR="003949DF" w:rsidRPr="00834128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2323,0</w:t>
            </w:r>
          </w:p>
        </w:tc>
        <w:tc>
          <w:tcPr>
            <w:tcW w:w="2126" w:type="dxa"/>
            <w:vAlign w:val="center"/>
          </w:tcPr>
          <w:p w:rsidR="003949DF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2330,8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9DF" w:rsidRDefault="003949DF" w:rsidP="003949D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2258,9</w:t>
            </w:r>
          </w:p>
        </w:tc>
        <w:tc>
          <w:tcPr>
            <w:tcW w:w="1134" w:type="dxa"/>
            <w:vAlign w:val="center"/>
          </w:tcPr>
          <w:p w:rsidR="003949DF" w:rsidRPr="00834128" w:rsidRDefault="003949DF" w:rsidP="003949D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56,1%</w:t>
            </w:r>
          </w:p>
        </w:tc>
        <w:tc>
          <w:tcPr>
            <w:tcW w:w="993" w:type="dxa"/>
            <w:vAlign w:val="center"/>
          </w:tcPr>
          <w:p w:rsidR="003949DF" w:rsidRPr="003949DF" w:rsidRDefault="003949DF" w:rsidP="003949DF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-64,1</w:t>
            </w:r>
          </w:p>
        </w:tc>
        <w:tc>
          <w:tcPr>
            <w:tcW w:w="1053" w:type="dxa"/>
            <w:vAlign w:val="center"/>
          </w:tcPr>
          <w:p w:rsidR="003949DF" w:rsidRPr="003949DF" w:rsidRDefault="003949DF" w:rsidP="003949DF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-2,8%</w:t>
            </w:r>
          </w:p>
        </w:tc>
      </w:tr>
      <w:tr w:rsidR="003949DF" w:rsidRPr="00EE5EEF" w:rsidTr="001D4674">
        <w:trPr>
          <w:trHeight w:val="24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949DF" w:rsidRPr="001D4674" w:rsidRDefault="003949DF" w:rsidP="003949DF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1D4674">
              <w:rPr>
                <w:b/>
                <w:bCs/>
                <w:sz w:val="22"/>
              </w:rPr>
              <w:t>Mainīgās izmaksas kopā</w:t>
            </w:r>
          </w:p>
        </w:tc>
        <w:tc>
          <w:tcPr>
            <w:tcW w:w="1418" w:type="dxa"/>
            <w:vAlign w:val="center"/>
          </w:tcPr>
          <w:p w:rsidR="003949DF" w:rsidRPr="001D4674" w:rsidRDefault="003949DF" w:rsidP="003949D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D4674">
              <w:rPr>
                <w:b/>
                <w:bCs/>
                <w:sz w:val="22"/>
              </w:rPr>
              <w:t>3126,0</w:t>
            </w:r>
          </w:p>
        </w:tc>
        <w:tc>
          <w:tcPr>
            <w:tcW w:w="2126" w:type="dxa"/>
            <w:vAlign w:val="center"/>
          </w:tcPr>
          <w:p w:rsidR="003949DF" w:rsidRPr="001D4674" w:rsidRDefault="003949DF" w:rsidP="003949D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D4674">
              <w:rPr>
                <w:b/>
                <w:bCs/>
                <w:sz w:val="22"/>
              </w:rPr>
              <w:t>3389,9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9DF" w:rsidRDefault="003949DF" w:rsidP="003949DF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3119,1</w:t>
            </w:r>
          </w:p>
        </w:tc>
        <w:tc>
          <w:tcPr>
            <w:tcW w:w="1134" w:type="dxa"/>
            <w:vAlign w:val="center"/>
          </w:tcPr>
          <w:p w:rsidR="003949DF" w:rsidRPr="001D4674" w:rsidRDefault="003949DF" w:rsidP="003949D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D4674">
              <w:rPr>
                <w:b/>
                <w:bCs/>
                <w:sz w:val="22"/>
              </w:rPr>
              <w:t>77,5%</w:t>
            </w:r>
          </w:p>
        </w:tc>
        <w:tc>
          <w:tcPr>
            <w:tcW w:w="993" w:type="dxa"/>
            <w:vAlign w:val="center"/>
          </w:tcPr>
          <w:p w:rsidR="003949DF" w:rsidRPr="003949DF" w:rsidRDefault="003949DF" w:rsidP="003949DF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9DF">
              <w:rPr>
                <w:b/>
                <w:bCs/>
                <w:sz w:val="22"/>
              </w:rPr>
              <w:t>-7,0</w:t>
            </w:r>
          </w:p>
        </w:tc>
        <w:tc>
          <w:tcPr>
            <w:tcW w:w="1053" w:type="dxa"/>
            <w:vAlign w:val="center"/>
          </w:tcPr>
          <w:p w:rsidR="003949DF" w:rsidRPr="003949DF" w:rsidRDefault="003949DF" w:rsidP="003949DF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9DF">
              <w:rPr>
                <w:b/>
                <w:bCs/>
                <w:sz w:val="22"/>
              </w:rPr>
              <w:t>-0,2%</w:t>
            </w:r>
          </w:p>
        </w:tc>
      </w:tr>
    </w:tbl>
    <w:p w:rsidR="00C76DA0" w:rsidRDefault="00C76DA0" w:rsidP="00C76DA0">
      <w:pPr>
        <w:spacing w:after="0" w:line="259" w:lineRule="auto"/>
        <w:ind w:right="0" w:firstLine="0"/>
      </w:pPr>
    </w:p>
    <w:p w:rsidR="00EF7768" w:rsidRDefault="00681BEA" w:rsidP="00EF7768">
      <w:pPr>
        <w:spacing w:after="0" w:line="259" w:lineRule="auto"/>
        <w:ind w:right="0" w:firstLine="0"/>
        <w:jc w:val="right"/>
      </w:pPr>
      <w:r>
        <w:t>5</w:t>
      </w:r>
      <w:r w:rsidR="00EF7768">
        <w:t>.tabula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2126"/>
        <w:gridCol w:w="1417"/>
        <w:gridCol w:w="1134"/>
        <w:gridCol w:w="991"/>
        <w:gridCol w:w="994"/>
      </w:tblGrid>
      <w:tr w:rsidR="001D4674" w:rsidRPr="00EE5EEF" w:rsidTr="001D4674">
        <w:trPr>
          <w:trHeight w:val="227"/>
          <w:tblHeader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974813" w:rsidRPr="003C2767" w:rsidRDefault="00974813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C2767">
              <w:rPr>
                <w:sz w:val="22"/>
              </w:rPr>
              <w:t>Pastāvīgās izmaksas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74813" w:rsidRPr="003C2767" w:rsidRDefault="001D4674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34128">
              <w:rPr>
                <w:sz w:val="22"/>
              </w:rPr>
              <w:t>2019.gads, tūkst. EUR</w:t>
            </w:r>
          </w:p>
        </w:tc>
        <w:tc>
          <w:tcPr>
            <w:tcW w:w="2126" w:type="dxa"/>
            <w:vMerge w:val="restart"/>
            <w:vAlign w:val="center"/>
          </w:tcPr>
          <w:p w:rsidR="00974813" w:rsidRPr="003C2767" w:rsidRDefault="00974813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Sākotnēji iesniegtais tarifu projekts, tūkst. EUR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74813" w:rsidRPr="003C2767" w:rsidRDefault="00974813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C2767">
              <w:rPr>
                <w:sz w:val="22"/>
              </w:rPr>
              <w:t>Tarifu projekts tūkst. EUR</w:t>
            </w:r>
          </w:p>
        </w:tc>
        <w:tc>
          <w:tcPr>
            <w:tcW w:w="1134" w:type="dxa"/>
            <w:vMerge w:val="restart"/>
            <w:vAlign w:val="center"/>
          </w:tcPr>
          <w:p w:rsidR="00974813" w:rsidRPr="003C2767" w:rsidRDefault="00974813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C2767">
              <w:rPr>
                <w:sz w:val="22"/>
              </w:rPr>
              <w:t>% no kopējām izmaksām</w:t>
            </w:r>
          </w:p>
        </w:tc>
        <w:tc>
          <w:tcPr>
            <w:tcW w:w="1985" w:type="dxa"/>
            <w:gridSpan w:val="2"/>
            <w:vAlign w:val="center"/>
          </w:tcPr>
          <w:p w:rsidR="00974813" w:rsidRPr="003C2767" w:rsidRDefault="00974813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Izmaiņas pret faktu</w:t>
            </w:r>
          </w:p>
        </w:tc>
      </w:tr>
      <w:tr w:rsidR="001D4674" w:rsidRPr="00EE5EEF" w:rsidTr="001D4674">
        <w:trPr>
          <w:trHeight w:val="227"/>
          <w:tblHeader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74813" w:rsidRDefault="00974813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74813" w:rsidRPr="00EE5EEF" w:rsidRDefault="00974813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74813" w:rsidRDefault="00974813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74813" w:rsidRDefault="00974813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4813" w:rsidRPr="00EE5EEF" w:rsidRDefault="00974813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991" w:type="dxa"/>
            <w:vAlign w:val="center"/>
          </w:tcPr>
          <w:p w:rsidR="00974813" w:rsidRPr="003C2767" w:rsidRDefault="00974813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tūkst. EUR</w:t>
            </w:r>
          </w:p>
        </w:tc>
        <w:tc>
          <w:tcPr>
            <w:tcW w:w="994" w:type="dxa"/>
            <w:vAlign w:val="center"/>
          </w:tcPr>
          <w:p w:rsidR="00974813" w:rsidRPr="003C2767" w:rsidRDefault="00974813" w:rsidP="001D467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F29C7" w:rsidRPr="00EE5EEF" w:rsidTr="001D4674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29C7" w:rsidRDefault="000F29C7" w:rsidP="000F29C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Darba samaksa ar sociālo nodokli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291,0</w:t>
            </w:r>
          </w:p>
        </w:tc>
        <w:tc>
          <w:tcPr>
            <w:tcW w:w="2126" w:type="dxa"/>
            <w:vAlign w:val="center"/>
          </w:tcPr>
          <w:p w:rsidR="000F29C7" w:rsidRPr="000F29C7" w:rsidRDefault="000F29C7" w:rsidP="000F29C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F29C7">
              <w:rPr>
                <w:sz w:val="22"/>
              </w:rPr>
              <w:t>309,7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322,3</w:t>
            </w:r>
          </w:p>
        </w:tc>
        <w:tc>
          <w:tcPr>
            <w:tcW w:w="113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8,0%</w:t>
            </w:r>
          </w:p>
        </w:tc>
        <w:tc>
          <w:tcPr>
            <w:tcW w:w="991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31,3</w:t>
            </w:r>
          </w:p>
        </w:tc>
        <w:tc>
          <w:tcPr>
            <w:tcW w:w="99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10,8%</w:t>
            </w:r>
          </w:p>
        </w:tc>
      </w:tr>
      <w:tr w:rsidR="000F29C7" w:rsidRPr="00EE5EEF" w:rsidTr="001D4674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29C7" w:rsidRDefault="000F29C7" w:rsidP="000F29C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Iekārtu remontu un uzturēšanas izmaksas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83,2</w:t>
            </w:r>
          </w:p>
        </w:tc>
        <w:tc>
          <w:tcPr>
            <w:tcW w:w="2126" w:type="dxa"/>
            <w:vAlign w:val="center"/>
          </w:tcPr>
          <w:p w:rsidR="000F29C7" w:rsidRPr="000F29C7" w:rsidRDefault="000F29C7" w:rsidP="000F29C7">
            <w:pPr>
              <w:ind w:firstLine="0"/>
              <w:jc w:val="center"/>
              <w:rPr>
                <w:sz w:val="22"/>
              </w:rPr>
            </w:pPr>
            <w:r w:rsidRPr="000F29C7">
              <w:rPr>
                <w:sz w:val="22"/>
              </w:rPr>
              <w:t>97,7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87,1</w:t>
            </w:r>
          </w:p>
        </w:tc>
        <w:tc>
          <w:tcPr>
            <w:tcW w:w="113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2,2%</w:t>
            </w:r>
          </w:p>
        </w:tc>
        <w:tc>
          <w:tcPr>
            <w:tcW w:w="991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3,9</w:t>
            </w:r>
          </w:p>
        </w:tc>
        <w:tc>
          <w:tcPr>
            <w:tcW w:w="99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4,7%</w:t>
            </w:r>
          </w:p>
        </w:tc>
      </w:tr>
      <w:tr w:rsidR="000F29C7" w:rsidRPr="00EE5EEF" w:rsidTr="001D4674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29C7" w:rsidRDefault="000F29C7" w:rsidP="000F29C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Pamatlīdzekļu nolietojums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211,6</w:t>
            </w:r>
          </w:p>
        </w:tc>
        <w:tc>
          <w:tcPr>
            <w:tcW w:w="2126" w:type="dxa"/>
            <w:vAlign w:val="center"/>
          </w:tcPr>
          <w:p w:rsidR="000F29C7" w:rsidRPr="000F29C7" w:rsidRDefault="000F29C7" w:rsidP="000F29C7">
            <w:pPr>
              <w:ind w:firstLine="0"/>
              <w:jc w:val="center"/>
              <w:rPr>
                <w:sz w:val="22"/>
              </w:rPr>
            </w:pPr>
            <w:r w:rsidRPr="000F29C7">
              <w:rPr>
                <w:sz w:val="22"/>
              </w:rPr>
              <w:t>221,5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211,5</w:t>
            </w:r>
          </w:p>
        </w:tc>
        <w:tc>
          <w:tcPr>
            <w:tcW w:w="113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5,3%</w:t>
            </w:r>
          </w:p>
        </w:tc>
        <w:tc>
          <w:tcPr>
            <w:tcW w:w="991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-0,1</w:t>
            </w:r>
          </w:p>
        </w:tc>
        <w:tc>
          <w:tcPr>
            <w:tcW w:w="99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-0,1%</w:t>
            </w:r>
          </w:p>
        </w:tc>
      </w:tr>
      <w:tr w:rsidR="000F29C7" w:rsidRPr="00EE5EEF" w:rsidTr="001D4674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29C7" w:rsidRDefault="000F29C7" w:rsidP="000F29C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Apdrošināšana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0,6</w:t>
            </w:r>
          </w:p>
        </w:tc>
        <w:tc>
          <w:tcPr>
            <w:tcW w:w="2126" w:type="dxa"/>
            <w:vAlign w:val="center"/>
          </w:tcPr>
          <w:p w:rsidR="000F29C7" w:rsidRPr="000F29C7" w:rsidRDefault="000F29C7" w:rsidP="000F29C7">
            <w:pPr>
              <w:ind w:firstLine="0"/>
              <w:jc w:val="center"/>
              <w:rPr>
                <w:sz w:val="22"/>
              </w:rPr>
            </w:pPr>
            <w:r w:rsidRPr="000F29C7">
              <w:rPr>
                <w:sz w:val="22"/>
              </w:rPr>
              <w:t>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3,7</w:t>
            </w:r>
          </w:p>
        </w:tc>
        <w:tc>
          <w:tcPr>
            <w:tcW w:w="113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0,1%</w:t>
            </w:r>
          </w:p>
        </w:tc>
        <w:tc>
          <w:tcPr>
            <w:tcW w:w="991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3,1</w:t>
            </w:r>
          </w:p>
        </w:tc>
        <w:tc>
          <w:tcPr>
            <w:tcW w:w="99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516,2%</w:t>
            </w:r>
          </w:p>
        </w:tc>
      </w:tr>
      <w:tr w:rsidR="000F29C7" w:rsidRPr="00EE5EEF" w:rsidTr="001D4674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29C7" w:rsidRDefault="000F29C7" w:rsidP="000F29C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Pārējās pastāvīgās izmaksas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102,9</w:t>
            </w:r>
          </w:p>
        </w:tc>
        <w:tc>
          <w:tcPr>
            <w:tcW w:w="2126" w:type="dxa"/>
            <w:vAlign w:val="center"/>
          </w:tcPr>
          <w:p w:rsidR="000F29C7" w:rsidRPr="000F29C7" w:rsidRDefault="000F29C7" w:rsidP="000F29C7">
            <w:pPr>
              <w:ind w:firstLine="0"/>
              <w:jc w:val="center"/>
              <w:rPr>
                <w:sz w:val="22"/>
              </w:rPr>
            </w:pPr>
            <w:r w:rsidRPr="000F29C7">
              <w:rPr>
                <w:sz w:val="22"/>
              </w:rPr>
              <w:t>114,1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97,9</w:t>
            </w:r>
          </w:p>
        </w:tc>
        <w:tc>
          <w:tcPr>
            <w:tcW w:w="113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2,4%</w:t>
            </w:r>
          </w:p>
        </w:tc>
        <w:tc>
          <w:tcPr>
            <w:tcW w:w="991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-5,0</w:t>
            </w:r>
          </w:p>
        </w:tc>
        <w:tc>
          <w:tcPr>
            <w:tcW w:w="99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-4,9%</w:t>
            </w:r>
          </w:p>
        </w:tc>
      </w:tr>
      <w:tr w:rsidR="000F29C7" w:rsidRPr="00EE5EEF" w:rsidTr="001D4674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29C7" w:rsidRPr="001D4674" w:rsidRDefault="000F29C7" w:rsidP="000F29C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1D4674">
              <w:rPr>
                <w:sz w:val="22"/>
              </w:rPr>
              <w:t>Pastāvīgās izmaksas kopā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9DF">
              <w:rPr>
                <w:b/>
                <w:bCs/>
                <w:sz w:val="22"/>
              </w:rPr>
              <w:t>689,3</w:t>
            </w:r>
          </w:p>
        </w:tc>
        <w:tc>
          <w:tcPr>
            <w:tcW w:w="2126" w:type="dxa"/>
            <w:vAlign w:val="center"/>
          </w:tcPr>
          <w:p w:rsidR="000F29C7" w:rsidRPr="000F29C7" w:rsidRDefault="000F29C7" w:rsidP="000F29C7">
            <w:pPr>
              <w:ind w:firstLine="0"/>
              <w:jc w:val="center"/>
              <w:rPr>
                <w:b/>
                <w:bCs/>
                <w:sz w:val="22"/>
              </w:rPr>
            </w:pPr>
            <w:r w:rsidRPr="000F29C7">
              <w:rPr>
                <w:b/>
                <w:bCs/>
                <w:sz w:val="22"/>
              </w:rPr>
              <w:t>743,6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9DF">
              <w:rPr>
                <w:b/>
                <w:bCs/>
                <w:sz w:val="22"/>
              </w:rPr>
              <w:t>722,5</w:t>
            </w:r>
          </w:p>
        </w:tc>
        <w:tc>
          <w:tcPr>
            <w:tcW w:w="113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9DF">
              <w:rPr>
                <w:b/>
                <w:bCs/>
                <w:sz w:val="22"/>
              </w:rPr>
              <w:t>18,0%</w:t>
            </w:r>
          </w:p>
        </w:tc>
        <w:tc>
          <w:tcPr>
            <w:tcW w:w="991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33,2</w:t>
            </w:r>
          </w:p>
        </w:tc>
        <w:tc>
          <w:tcPr>
            <w:tcW w:w="99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4,8%</w:t>
            </w:r>
          </w:p>
        </w:tc>
      </w:tr>
      <w:tr w:rsidR="000F29C7" w:rsidRPr="00EE5EEF" w:rsidTr="001D4674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29C7" w:rsidRDefault="000F29C7" w:rsidP="000F29C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Peļņa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-155,0</w:t>
            </w:r>
          </w:p>
        </w:tc>
        <w:tc>
          <w:tcPr>
            <w:tcW w:w="2126" w:type="dxa"/>
            <w:vAlign w:val="center"/>
          </w:tcPr>
          <w:p w:rsidR="000F29C7" w:rsidRPr="000F29C7" w:rsidRDefault="000F29C7" w:rsidP="000F29C7">
            <w:pPr>
              <w:ind w:firstLine="0"/>
              <w:jc w:val="center"/>
              <w:rPr>
                <w:sz w:val="22"/>
              </w:rPr>
            </w:pPr>
            <w:r w:rsidRPr="000F29C7">
              <w:rPr>
                <w:sz w:val="22"/>
              </w:rPr>
              <w:t>212,8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182,1</w:t>
            </w:r>
          </w:p>
        </w:tc>
        <w:tc>
          <w:tcPr>
            <w:tcW w:w="113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4,5%</w:t>
            </w:r>
          </w:p>
        </w:tc>
        <w:tc>
          <w:tcPr>
            <w:tcW w:w="991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337,1</w:t>
            </w:r>
          </w:p>
        </w:tc>
        <w:tc>
          <w:tcPr>
            <w:tcW w:w="99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3949DF">
              <w:rPr>
                <w:sz w:val="22"/>
              </w:rPr>
              <w:t>217,5%</w:t>
            </w:r>
          </w:p>
        </w:tc>
      </w:tr>
      <w:tr w:rsidR="000F29C7" w:rsidRPr="001D4674" w:rsidTr="001D4674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29C7" w:rsidRPr="001D4674" w:rsidRDefault="000F29C7" w:rsidP="000F29C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1D4674">
              <w:rPr>
                <w:b/>
                <w:bCs/>
                <w:sz w:val="22"/>
              </w:rPr>
              <w:t>Izmaksas kopā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9DF">
              <w:rPr>
                <w:b/>
                <w:bCs/>
                <w:sz w:val="22"/>
              </w:rPr>
              <w:t>3970,3</w:t>
            </w:r>
          </w:p>
        </w:tc>
        <w:tc>
          <w:tcPr>
            <w:tcW w:w="2126" w:type="dxa"/>
            <w:vAlign w:val="center"/>
          </w:tcPr>
          <w:p w:rsidR="000F29C7" w:rsidRPr="000F29C7" w:rsidRDefault="000F29C7" w:rsidP="000F29C7">
            <w:pPr>
              <w:ind w:firstLine="0"/>
              <w:jc w:val="center"/>
              <w:rPr>
                <w:b/>
                <w:bCs/>
                <w:sz w:val="22"/>
              </w:rPr>
            </w:pPr>
            <w:r w:rsidRPr="000F29C7">
              <w:rPr>
                <w:b/>
                <w:bCs/>
                <w:sz w:val="22"/>
              </w:rPr>
              <w:t>4346,3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9DF">
              <w:rPr>
                <w:b/>
                <w:bCs/>
                <w:sz w:val="22"/>
              </w:rPr>
              <w:t>4023,6</w:t>
            </w:r>
          </w:p>
        </w:tc>
        <w:tc>
          <w:tcPr>
            <w:tcW w:w="113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9DF">
              <w:rPr>
                <w:b/>
                <w:bCs/>
                <w:sz w:val="22"/>
              </w:rPr>
              <w:t>100,0%</w:t>
            </w:r>
          </w:p>
        </w:tc>
        <w:tc>
          <w:tcPr>
            <w:tcW w:w="991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9DF">
              <w:rPr>
                <w:b/>
                <w:bCs/>
                <w:sz w:val="22"/>
              </w:rPr>
              <w:t>53,3</w:t>
            </w:r>
          </w:p>
        </w:tc>
        <w:tc>
          <w:tcPr>
            <w:tcW w:w="994" w:type="dxa"/>
            <w:vAlign w:val="center"/>
          </w:tcPr>
          <w:p w:rsidR="000F29C7" w:rsidRPr="003949DF" w:rsidRDefault="000F29C7" w:rsidP="000F29C7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3949DF">
              <w:rPr>
                <w:b/>
                <w:bCs/>
                <w:sz w:val="22"/>
              </w:rPr>
              <w:t>1,3%</w:t>
            </w:r>
          </w:p>
        </w:tc>
      </w:tr>
    </w:tbl>
    <w:p w:rsidR="004661F7" w:rsidRDefault="004661F7" w:rsidP="004661F7">
      <w:pPr>
        <w:spacing w:after="0" w:line="259" w:lineRule="auto"/>
        <w:ind w:right="0" w:firstLine="0"/>
        <w:jc w:val="center"/>
      </w:pPr>
    </w:p>
    <w:sectPr w:rsidR="004661F7" w:rsidSect="003F712D">
      <w:pgSz w:w="11906" w:h="16838"/>
      <w:pgMar w:top="719" w:right="1071" w:bottom="1276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A6FA3"/>
    <w:multiLevelType w:val="hybridMultilevel"/>
    <w:tmpl w:val="017EB8DA"/>
    <w:lvl w:ilvl="0" w:tplc="0896E100">
      <w:start w:val="1"/>
      <w:numFmt w:val="bullet"/>
      <w:lvlText w:val="*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448178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EB250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188894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4664E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E5EEE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E4C64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08FDB4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62C02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BC5A71"/>
    <w:multiLevelType w:val="hybridMultilevel"/>
    <w:tmpl w:val="DE064DCE"/>
    <w:lvl w:ilvl="0" w:tplc="6A2A3BF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6CBC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C2B3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E31A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AF1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18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89A4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6E79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01B9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D1322D"/>
    <w:multiLevelType w:val="hybridMultilevel"/>
    <w:tmpl w:val="6DB0547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B698C"/>
    <w:multiLevelType w:val="hybridMultilevel"/>
    <w:tmpl w:val="C0FAE23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36"/>
    <w:rsid w:val="000210B4"/>
    <w:rsid w:val="000413D4"/>
    <w:rsid w:val="000F29C7"/>
    <w:rsid w:val="000F54EC"/>
    <w:rsid w:val="00190776"/>
    <w:rsid w:val="00190879"/>
    <w:rsid w:val="001D4674"/>
    <w:rsid w:val="001F4F7A"/>
    <w:rsid w:val="00216280"/>
    <w:rsid w:val="0024005A"/>
    <w:rsid w:val="00247FF6"/>
    <w:rsid w:val="002B0462"/>
    <w:rsid w:val="002C5A89"/>
    <w:rsid w:val="00354D97"/>
    <w:rsid w:val="003738C5"/>
    <w:rsid w:val="003949DF"/>
    <w:rsid w:val="003C0818"/>
    <w:rsid w:val="003E5388"/>
    <w:rsid w:val="003F712D"/>
    <w:rsid w:val="004259FB"/>
    <w:rsid w:val="004661F7"/>
    <w:rsid w:val="0051108F"/>
    <w:rsid w:val="0052570C"/>
    <w:rsid w:val="006502D6"/>
    <w:rsid w:val="00681BEA"/>
    <w:rsid w:val="006F1B3A"/>
    <w:rsid w:val="00711F59"/>
    <w:rsid w:val="0075760D"/>
    <w:rsid w:val="007B0F36"/>
    <w:rsid w:val="0082704A"/>
    <w:rsid w:val="00834128"/>
    <w:rsid w:val="00887115"/>
    <w:rsid w:val="008A5799"/>
    <w:rsid w:val="008A5D85"/>
    <w:rsid w:val="00974813"/>
    <w:rsid w:val="009E0ED3"/>
    <w:rsid w:val="00AB2C3D"/>
    <w:rsid w:val="00BF3E06"/>
    <w:rsid w:val="00C76DA0"/>
    <w:rsid w:val="00C95187"/>
    <w:rsid w:val="00E11C91"/>
    <w:rsid w:val="00EE1238"/>
    <w:rsid w:val="00EF7768"/>
    <w:rsid w:val="00F06D0E"/>
    <w:rsid w:val="00F30188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0770"/>
  <w15:docId w15:val="{F0D14129-4C7B-4339-8173-0D064A5A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0" w:line="323" w:lineRule="auto"/>
      <w:ind w:right="61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158"/>
      <w:ind w:right="64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A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579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4577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26</vt:lpstr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PeterisD</dc:creator>
  <cp:keywords/>
  <cp:lastModifiedBy>Vjačeslavs Smirnovs</cp:lastModifiedBy>
  <cp:revision>26</cp:revision>
  <cp:lastPrinted>2018-04-05T07:24:00Z</cp:lastPrinted>
  <dcterms:created xsi:type="dcterms:W3CDTF">2018-04-05T07:05:00Z</dcterms:created>
  <dcterms:modified xsi:type="dcterms:W3CDTF">2020-05-12T06:13:00Z</dcterms:modified>
</cp:coreProperties>
</file>